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4FCD" w14:textId="77777777" w:rsidR="005013A3" w:rsidRPr="000D51DE" w:rsidRDefault="005013A3" w:rsidP="005013A3">
      <w:pPr>
        <w:widowControl w:val="0"/>
        <w:autoSpaceDE w:val="0"/>
        <w:autoSpaceDN w:val="0"/>
        <w:adjustRightInd w:val="0"/>
        <w:ind w:right="184"/>
        <w:rPr>
          <w:rFonts w:asciiTheme="minorHAnsi" w:hAnsiTheme="minorHAnsi" w:cstheme="minorHAnsi"/>
          <w:color w:val="E38216"/>
          <w:sz w:val="30"/>
          <w:szCs w:val="30"/>
        </w:rPr>
      </w:pPr>
      <w:r>
        <w:rPr>
          <w:rFonts w:asciiTheme="minorHAnsi" w:hAnsiTheme="minorHAnsi" w:cstheme="minorHAnsi"/>
          <w:color w:val="E38216"/>
          <w:sz w:val="30"/>
          <w:szCs w:val="30"/>
        </w:rPr>
        <w:t>THE FRAMING CHALLENGE</w:t>
      </w:r>
    </w:p>
    <w:p w14:paraId="3AB947DC"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1069B56" w14:textId="62DB25E2" w:rsidR="005013A3" w:rsidRPr="00BA1819"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Challenge: There is no agreed upon definition of poverty nor impact framework</w:t>
      </w:r>
      <w:r>
        <w:rPr>
          <w:rFonts w:ascii="Calibri" w:hAnsi="Calibri" w:cs="Calibri"/>
          <w:noProof/>
          <w:color w:val="404040" w:themeColor="text1" w:themeTint="BF"/>
          <w:sz w:val="22"/>
          <w:szCs w:val="22"/>
        </w:rPr>
        <w:t>.</w:t>
      </w:r>
    </w:p>
    <w:p w14:paraId="258218F9"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0B04BD23" w14:textId="4223F2E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Our solution: Collaboratives must </w:t>
      </w:r>
      <w:r>
        <w:rPr>
          <w:rFonts w:ascii="Calibri" w:hAnsi="Calibri" w:cs="Calibri"/>
          <w:noProof/>
          <w:color w:val="404040" w:themeColor="text1" w:themeTint="BF"/>
          <w:sz w:val="22"/>
          <w:szCs w:val="22"/>
        </w:rPr>
        <w:t xml:space="preserve">develop and </w:t>
      </w:r>
      <w:r w:rsidRPr="00BA1819">
        <w:rPr>
          <w:rFonts w:ascii="Calibri" w:hAnsi="Calibri" w:cs="Calibri"/>
          <w:noProof/>
          <w:color w:val="404040" w:themeColor="text1" w:themeTint="BF"/>
          <w:sz w:val="22"/>
          <w:szCs w:val="22"/>
        </w:rPr>
        <w:t xml:space="preserve">embrace </w:t>
      </w:r>
      <w:r>
        <w:rPr>
          <w:rFonts w:ascii="Calibri" w:hAnsi="Calibri" w:cs="Calibri"/>
          <w:noProof/>
          <w:color w:val="404040" w:themeColor="text1" w:themeTint="BF"/>
          <w:sz w:val="22"/>
          <w:szCs w:val="22"/>
        </w:rPr>
        <w:t>their</w:t>
      </w:r>
      <w:r w:rsidRPr="00BA1819">
        <w:rPr>
          <w:rFonts w:ascii="Calibri" w:hAnsi="Calibri" w:cs="Calibri"/>
          <w:noProof/>
          <w:color w:val="404040" w:themeColor="text1" w:themeTint="BF"/>
          <w:sz w:val="22"/>
          <w:szCs w:val="22"/>
        </w:rPr>
        <w:t xml:space="preserve"> own version of an impact framework, feel comfortable with th</w:t>
      </w:r>
      <w:r>
        <w:rPr>
          <w:rFonts w:ascii="Calibri" w:hAnsi="Calibri" w:cs="Calibri"/>
          <w:noProof/>
          <w:color w:val="404040" w:themeColor="text1" w:themeTint="BF"/>
          <w:sz w:val="22"/>
          <w:szCs w:val="22"/>
        </w:rPr>
        <w:t>eir rationale,</w:t>
      </w:r>
      <w:r w:rsidRPr="00BA1819">
        <w:rPr>
          <w:rFonts w:ascii="Calibri" w:hAnsi="Calibri" w:cs="Calibri"/>
          <w:noProof/>
          <w:color w:val="404040" w:themeColor="text1" w:themeTint="BF"/>
          <w:sz w:val="22"/>
          <w:szCs w:val="22"/>
        </w:rPr>
        <w:t xml:space="preserve"> and communicate this </w:t>
      </w:r>
      <w:r>
        <w:rPr>
          <w:rFonts w:ascii="Calibri" w:hAnsi="Calibri" w:cs="Calibri"/>
          <w:noProof/>
          <w:color w:val="404040" w:themeColor="text1" w:themeTint="BF"/>
          <w:sz w:val="22"/>
          <w:szCs w:val="22"/>
        </w:rPr>
        <w:t>framing</w:t>
      </w:r>
      <w:r w:rsidRPr="00BA1819">
        <w:rPr>
          <w:rFonts w:ascii="Calibri" w:hAnsi="Calibri" w:cs="Calibri"/>
          <w:noProof/>
          <w:color w:val="404040" w:themeColor="text1" w:themeTint="BF"/>
          <w:sz w:val="22"/>
          <w:szCs w:val="22"/>
        </w:rPr>
        <w:t xml:space="preserve"> to stakeholders.</w:t>
      </w:r>
    </w:p>
    <w:p w14:paraId="4FD88F6D"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42BB8B4" w14:textId="2353ECFA"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To overcome this challenge, </w:t>
      </w:r>
      <w:r>
        <w:rPr>
          <w:rFonts w:ascii="Calibri" w:hAnsi="Calibri" w:cs="Calibri"/>
          <w:noProof/>
          <w:color w:val="404040" w:themeColor="text1" w:themeTint="BF"/>
          <w:sz w:val="22"/>
          <w:szCs w:val="22"/>
        </w:rPr>
        <w:t>implicit frameworks must be made explicit</w:t>
      </w:r>
      <w:r>
        <w:rPr>
          <w:rFonts w:ascii="Calibri" w:hAnsi="Calibri" w:cs="Calibri"/>
          <w:noProof/>
          <w:color w:val="404040" w:themeColor="text1" w:themeTint="BF"/>
          <w:sz w:val="22"/>
          <w:szCs w:val="22"/>
        </w:rPr>
        <w:t xml:space="preserve"> and </w:t>
      </w:r>
      <w:r>
        <w:rPr>
          <w:rFonts w:ascii="Calibri" w:hAnsi="Calibri" w:cs="Calibri"/>
          <w:noProof/>
          <w:color w:val="404040" w:themeColor="text1" w:themeTint="BF"/>
          <w:sz w:val="22"/>
          <w:szCs w:val="22"/>
        </w:rPr>
        <w:t>collaboratives</w:t>
      </w:r>
      <w:r>
        <w:rPr>
          <w:rFonts w:ascii="Calibri" w:hAnsi="Calibri" w:cs="Calibri"/>
          <w:noProof/>
          <w:color w:val="404040" w:themeColor="text1" w:themeTint="BF"/>
          <w:sz w:val="22"/>
          <w:szCs w:val="22"/>
        </w:rPr>
        <w:t xml:space="preserve"> </w:t>
      </w:r>
      <w:r>
        <w:rPr>
          <w:rFonts w:ascii="Calibri" w:hAnsi="Calibri" w:cs="Calibri"/>
          <w:noProof/>
          <w:color w:val="404040" w:themeColor="text1" w:themeTint="BF"/>
          <w:sz w:val="22"/>
          <w:szCs w:val="22"/>
        </w:rPr>
        <w:t>that</w:t>
      </w:r>
      <w:r>
        <w:rPr>
          <w:rFonts w:ascii="Calibri" w:hAnsi="Calibri" w:cs="Calibri"/>
          <w:noProof/>
          <w:color w:val="404040" w:themeColor="text1" w:themeTint="BF"/>
          <w:sz w:val="22"/>
          <w:szCs w:val="22"/>
        </w:rPr>
        <w:t xml:space="preserve"> have been reluctant to commit to the elements of a formal framework </w:t>
      </w:r>
      <w:r>
        <w:rPr>
          <w:rFonts w:ascii="Calibri" w:hAnsi="Calibri" w:cs="Calibri"/>
          <w:noProof/>
          <w:color w:val="404040" w:themeColor="text1" w:themeTint="BF"/>
          <w:sz w:val="22"/>
          <w:szCs w:val="22"/>
        </w:rPr>
        <w:t>in order to be inclusive</w:t>
      </w:r>
      <w:r>
        <w:rPr>
          <w:rFonts w:ascii="Calibri" w:hAnsi="Calibri" w:cs="Calibri"/>
          <w:noProof/>
          <w:color w:val="404040" w:themeColor="text1" w:themeTint="BF"/>
          <w:sz w:val="22"/>
          <w:szCs w:val="22"/>
        </w:rPr>
        <w:t xml:space="preserve"> of partners, need to commit to something. The following nine resources briefly describe some typical poverty reduction frameworks that collaboratives may consider adopting or adapting. If none of these frameworks speak to your understanding of poverty, you may need to develop, test and refine a framework from scratch.  </w:t>
      </w:r>
    </w:p>
    <w:p w14:paraId="2C7729CB"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42032CC7" w14:textId="4C59CF6B"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The basic elements of a framework include:</w:t>
      </w:r>
    </w:p>
    <w:p w14:paraId="131AEF20" w14:textId="5696B047" w:rsidR="005013A3" w:rsidRDefault="005013A3" w:rsidP="005013A3">
      <w:pPr>
        <w:pStyle w:val="ListParagraph"/>
        <w:widowControl w:val="0"/>
        <w:numPr>
          <w:ilvl w:val="0"/>
          <w:numId w:val="13"/>
        </w:numPr>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Your definitions of ‘poverty’ and ‘poverty reduction’</w:t>
      </w:r>
    </w:p>
    <w:p w14:paraId="7FE751BD" w14:textId="08E41FDC" w:rsidR="005013A3" w:rsidRDefault="005013A3" w:rsidP="005013A3">
      <w:pPr>
        <w:pStyle w:val="ListParagraph"/>
        <w:widowControl w:val="0"/>
        <w:numPr>
          <w:ilvl w:val="0"/>
          <w:numId w:val="13"/>
        </w:numPr>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Your impact domains (ex. Housing, </w:t>
      </w:r>
      <w:r w:rsidR="00AA0948">
        <w:rPr>
          <w:rFonts w:ascii="Calibri" w:hAnsi="Calibri" w:cs="Calibri"/>
          <w:noProof/>
          <w:color w:val="404040" w:themeColor="text1" w:themeTint="BF"/>
          <w:sz w:val="22"/>
          <w:szCs w:val="22"/>
        </w:rPr>
        <w:t>education, health,</w:t>
      </w:r>
      <w:r>
        <w:rPr>
          <w:rFonts w:ascii="Calibri" w:hAnsi="Calibri" w:cs="Calibri"/>
          <w:noProof/>
          <w:color w:val="404040" w:themeColor="text1" w:themeTint="BF"/>
          <w:sz w:val="22"/>
          <w:szCs w:val="22"/>
        </w:rPr>
        <w:t xml:space="preserve"> etc.)</w:t>
      </w:r>
    </w:p>
    <w:p w14:paraId="2F5D2429" w14:textId="24052467" w:rsidR="005013A3" w:rsidRPr="005013A3" w:rsidRDefault="005013A3" w:rsidP="005013A3">
      <w:pPr>
        <w:pStyle w:val="ListParagraph"/>
        <w:widowControl w:val="0"/>
        <w:numPr>
          <w:ilvl w:val="0"/>
          <w:numId w:val="13"/>
        </w:numPr>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Your i</w:t>
      </w:r>
      <w:r w:rsidRPr="005013A3">
        <w:rPr>
          <w:rFonts w:ascii="Calibri" w:hAnsi="Calibri" w:cs="Calibri"/>
          <w:noProof/>
          <w:color w:val="404040" w:themeColor="text1" w:themeTint="BF"/>
          <w:sz w:val="22"/>
          <w:szCs w:val="22"/>
        </w:rPr>
        <w:t>ndicators (against impact domains)</w:t>
      </w:r>
    </w:p>
    <w:p w14:paraId="0ED9A284" w14:textId="48D12372" w:rsidR="005013A3" w:rsidRPr="005013A3" w:rsidRDefault="005013A3" w:rsidP="005013A3">
      <w:pPr>
        <w:pStyle w:val="ListParagraph"/>
        <w:widowControl w:val="0"/>
        <w:numPr>
          <w:ilvl w:val="0"/>
          <w:numId w:val="13"/>
        </w:numPr>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Your poverty threshold(s)</w:t>
      </w:r>
    </w:p>
    <w:p w14:paraId="4E3C5BB9" w14:textId="77777777" w:rsidR="005013A3" w:rsidRDefault="005013A3" w:rsidP="005013A3">
      <w:pPr>
        <w:rPr>
          <w:rFonts w:asciiTheme="minorHAnsi" w:eastAsiaTheme="minorEastAsia" w:hAnsiTheme="minorHAnsi" w:cstheme="minorBidi"/>
          <w:noProof/>
          <w:color w:val="5A5A5A" w:themeColor="text1" w:themeTint="A5"/>
          <w:spacing w:val="15"/>
          <w:sz w:val="22"/>
          <w:szCs w:val="22"/>
        </w:rPr>
      </w:pPr>
    </w:p>
    <w:p w14:paraId="7C97A3C4" w14:textId="77777777" w:rsidR="005013A3" w:rsidRDefault="005013A3" w:rsidP="005013A3">
      <w:pPr>
        <w:pStyle w:val="Subtitle"/>
        <w:rPr>
          <w:noProof/>
        </w:rPr>
      </w:pPr>
      <w:r>
        <w:rPr>
          <w:noProof/>
        </w:rPr>
        <w:t>Table 2 – Table of Contents: Typical Frameworks</w:t>
      </w:r>
    </w:p>
    <w:tbl>
      <w:tblPr>
        <w:tblStyle w:val="TableGrid"/>
        <w:tblW w:w="8929" w:type="dxa"/>
        <w:tblLook w:val="04A0" w:firstRow="1" w:lastRow="0" w:firstColumn="1" w:lastColumn="0" w:noHBand="0" w:noVBand="1"/>
      </w:tblPr>
      <w:tblGrid>
        <w:gridCol w:w="672"/>
        <w:gridCol w:w="5279"/>
        <w:gridCol w:w="2978"/>
      </w:tblGrid>
      <w:tr w:rsidR="005013A3" w14:paraId="488C31DF" w14:textId="77777777" w:rsidTr="004316C5">
        <w:trPr>
          <w:trHeight w:val="372"/>
        </w:trPr>
        <w:tc>
          <w:tcPr>
            <w:tcW w:w="672" w:type="dxa"/>
            <w:shd w:val="clear" w:color="auto" w:fill="404040" w:themeFill="text1" w:themeFillTint="BF"/>
          </w:tcPr>
          <w:p w14:paraId="6072950E" w14:textId="77777777" w:rsidR="005013A3" w:rsidRPr="005072C6" w:rsidRDefault="005013A3" w:rsidP="004316C5">
            <w:pPr>
              <w:widowControl w:val="0"/>
              <w:autoSpaceDE w:val="0"/>
              <w:autoSpaceDN w:val="0"/>
              <w:adjustRightInd w:val="0"/>
              <w:ind w:right="184"/>
              <w:rPr>
                <w:rFonts w:ascii="Calibri" w:hAnsi="Calibri" w:cs="Calibri"/>
                <w:b/>
                <w:noProof/>
                <w:color w:val="FFFFFF" w:themeColor="background1"/>
              </w:rPr>
            </w:pPr>
          </w:p>
        </w:tc>
        <w:tc>
          <w:tcPr>
            <w:tcW w:w="5279" w:type="dxa"/>
            <w:shd w:val="clear" w:color="auto" w:fill="404040" w:themeFill="text1" w:themeFillTint="BF"/>
          </w:tcPr>
          <w:p w14:paraId="26CD27DC" w14:textId="77777777" w:rsidR="005013A3" w:rsidRPr="005072C6" w:rsidRDefault="005013A3" w:rsidP="004316C5">
            <w:pPr>
              <w:widowControl w:val="0"/>
              <w:autoSpaceDE w:val="0"/>
              <w:autoSpaceDN w:val="0"/>
              <w:adjustRightInd w:val="0"/>
              <w:ind w:right="184"/>
              <w:rPr>
                <w:rFonts w:ascii="Calibri" w:hAnsi="Calibri" w:cs="Calibri"/>
                <w:b/>
                <w:noProof/>
                <w:color w:val="FFFFFF" w:themeColor="background1"/>
              </w:rPr>
            </w:pPr>
            <w:r w:rsidRPr="005072C6">
              <w:rPr>
                <w:rFonts w:ascii="Calibri" w:hAnsi="Calibri" w:cs="Calibri"/>
                <w:b/>
                <w:noProof/>
                <w:color w:val="FFFFFF" w:themeColor="background1"/>
              </w:rPr>
              <w:t>Framework</w:t>
            </w:r>
          </w:p>
        </w:tc>
        <w:tc>
          <w:tcPr>
            <w:tcW w:w="2977" w:type="dxa"/>
            <w:shd w:val="clear" w:color="auto" w:fill="404040" w:themeFill="text1" w:themeFillTint="BF"/>
          </w:tcPr>
          <w:p w14:paraId="277EDA5F" w14:textId="77777777" w:rsidR="005013A3" w:rsidRPr="005072C6" w:rsidRDefault="005013A3" w:rsidP="004316C5">
            <w:pPr>
              <w:widowControl w:val="0"/>
              <w:autoSpaceDE w:val="0"/>
              <w:autoSpaceDN w:val="0"/>
              <w:adjustRightInd w:val="0"/>
              <w:ind w:right="184"/>
              <w:rPr>
                <w:rFonts w:ascii="Calibri" w:hAnsi="Calibri" w:cs="Calibri"/>
                <w:b/>
                <w:noProof/>
                <w:color w:val="FFFFFF" w:themeColor="background1"/>
              </w:rPr>
            </w:pPr>
            <w:r w:rsidRPr="005072C6">
              <w:rPr>
                <w:rFonts w:ascii="Calibri" w:hAnsi="Calibri" w:cs="Calibri"/>
                <w:b/>
                <w:noProof/>
                <w:color w:val="FFFFFF" w:themeColor="background1"/>
              </w:rPr>
              <w:t>Page</w:t>
            </w:r>
            <w:r>
              <w:rPr>
                <w:rFonts w:ascii="Calibri" w:hAnsi="Calibri" w:cs="Calibri"/>
                <w:b/>
                <w:noProof/>
                <w:color w:val="FFFFFF" w:themeColor="background1"/>
              </w:rPr>
              <w:t xml:space="preserve"> Number</w:t>
            </w:r>
          </w:p>
        </w:tc>
      </w:tr>
      <w:tr w:rsidR="005013A3" w14:paraId="6005B656" w14:textId="77777777" w:rsidTr="004316C5">
        <w:trPr>
          <w:trHeight w:val="372"/>
        </w:trPr>
        <w:tc>
          <w:tcPr>
            <w:tcW w:w="8929" w:type="dxa"/>
            <w:gridSpan w:val="3"/>
            <w:shd w:val="clear" w:color="auto" w:fill="D0CECE" w:themeFill="background2" w:themeFillShade="E6"/>
          </w:tcPr>
          <w:p w14:paraId="45621D2A" w14:textId="77777777" w:rsidR="005013A3" w:rsidRPr="005072C6" w:rsidRDefault="005013A3" w:rsidP="004316C5">
            <w:pPr>
              <w:widowControl w:val="0"/>
              <w:autoSpaceDE w:val="0"/>
              <w:autoSpaceDN w:val="0"/>
              <w:adjustRightInd w:val="0"/>
              <w:ind w:right="184"/>
              <w:rPr>
                <w:rFonts w:ascii="Calibri" w:hAnsi="Calibri" w:cs="Calibri"/>
                <w:b/>
                <w:noProof/>
                <w:color w:val="404040" w:themeColor="text1" w:themeTint="BF"/>
              </w:rPr>
            </w:pPr>
            <w:r w:rsidRPr="005072C6">
              <w:rPr>
                <w:rFonts w:ascii="Calibri" w:hAnsi="Calibri" w:cs="Calibri"/>
                <w:b/>
                <w:noProof/>
                <w:color w:val="404040" w:themeColor="text1" w:themeTint="BF"/>
              </w:rPr>
              <w:t>Programmatic &amp; Targeted- Level</w:t>
            </w:r>
          </w:p>
        </w:tc>
      </w:tr>
      <w:tr w:rsidR="005013A3" w14:paraId="4EC00AB2" w14:textId="77777777" w:rsidTr="004316C5">
        <w:trPr>
          <w:trHeight w:val="372"/>
        </w:trPr>
        <w:tc>
          <w:tcPr>
            <w:tcW w:w="672" w:type="dxa"/>
          </w:tcPr>
          <w:p w14:paraId="5630F887"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1</w:t>
            </w:r>
          </w:p>
        </w:tc>
        <w:tc>
          <w:tcPr>
            <w:tcW w:w="5279" w:type="dxa"/>
          </w:tcPr>
          <w:p w14:paraId="2FBB337A"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Self-Sufficiency Scales</w:t>
            </w:r>
          </w:p>
        </w:tc>
        <w:tc>
          <w:tcPr>
            <w:tcW w:w="2977" w:type="dxa"/>
          </w:tcPr>
          <w:p w14:paraId="3BB2A065" w14:textId="09FAC776"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2</w:t>
            </w:r>
          </w:p>
        </w:tc>
      </w:tr>
      <w:tr w:rsidR="005013A3" w14:paraId="221E180F" w14:textId="77777777" w:rsidTr="004316C5">
        <w:trPr>
          <w:trHeight w:val="372"/>
        </w:trPr>
        <w:tc>
          <w:tcPr>
            <w:tcW w:w="672" w:type="dxa"/>
          </w:tcPr>
          <w:p w14:paraId="38673DDC"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2</w:t>
            </w:r>
          </w:p>
        </w:tc>
        <w:tc>
          <w:tcPr>
            <w:tcW w:w="5279" w:type="dxa"/>
          </w:tcPr>
          <w:p w14:paraId="6BBCE9AD"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Sustainable Livelihoods</w:t>
            </w:r>
          </w:p>
        </w:tc>
        <w:tc>
          <w:tcPr>
            <w:tcW w:w="2977" w:type="dxa"/>
          </w:tcPr>
          <w:p w14:paraId="495D79FF" w14:textId="7504E1EF"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2</w:t>
            </w:r>
          </w:p>
        </w:tc>
      </w:tr>
      <w:tr w:rsidR="005013A3" w14:paraId="15AE808D" w14:textId="77777777" w:rsidTr="004316C5">
        <w:trPr>
          <w:trHeight w:val="372"/>
        </w:trPr>
        <w:tc>
          <w:tcPr>
            <w:tcW w:w="8929" w:type="dxa"/>
            <w:gridSpan w:val="3"/>
            <w:shd w:val="clear" w:color="auto" w:fill="D0CECE" w:themeFill="background2" w:themeFillShade="E6"/>
          </w:tcPr>
          <w:p w14:paraId="778DCAEB" w14:textId="77777777" w:rsidR="005013A3" w:rsidRPr="005072C6" w:rsidRDefault="005013A3" w:rsidP="004316C5">
            <w:pPr>
              <w:widowControl w:val="0"/>
              <w:autoSpaceDE w:val="0"/>
              <w:autoSpaceDN w:val="0"/>
              <w:adjustRightInd w:val="0"/>
              <w:ind w:right="184"/>
              <w:rPr>
                <w:rFonts w:ascii="Calibri" w:hAnsi="Calibri" w:cs="Calibri"/>
                <w:b/>
                <w:noProof/>
                <w:color w:val="404040" w:themeColor="text1" w:themeTint="BF"/>
              </w:rPr>
            </w:pPr>
            <w:r w:rsidRPr="005072C6">
              <w:rPr>
                <w:rFonts w:ascii="Calibri" w:hAnsi="Calibri" w:cs="Calibri"/>
                <w:b/>
                <w:noProof/>
                <w:color w:val="404040" w:themeColor="text1" w:themeTint="BF"/>
              </w:rPr>
              <w:t>Population-Level – Unidimensional, Income-Based Measures</w:t>
            </w:r>
          </w:p>
        </w:tc>
      </w:tr>
      <w:tr w:rsidR="005013A3" w14:paraId="34FD27AB" w14:textId="77777777" w:rsidTr="004316C5">
        <w:trPr>
          <w:trHeight w:val="372"/>
        </w:trPr>
        <w:tc>
          <w:tcPr>
            <w:tcW w:w="672" w:type="dxa"/>
          </w:tcPr>
          <w:p w14:paraId="62865958"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3</w:t>
            </w:r>
          </w:p>
        </w:tc>
        <w:tc>
          <w:tcPr>
            <w:tcW w:w="5279" w:type="dxa"/>
          </w:tcPr>
          <w:p w14:paraId="571E60AE"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Market Basket Measure (MBM)</w:t>
            </w:r>
          </w:p>
        </w:tc>
        <w:tc>
          <w:tcPr>
            <w:tcW w:w="2977" w:type="dxa"/>
          </w:tcPr>
          <w:p w14:paraId="436FD9A3" w14:textId="13CFFF28"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3</w:t>
            </w:r>
          </w:p>
        </w:tc>
      </w:tr>
      <w:tr w:rsidR="005013A3" w14:paraId="15643E53" w14:textId="77777777" w:rsidTr="004316C5">
        <w:trPr>
          <w:trHeight w:val="372"/>
        </w:trPr>
        <w:tc>
          <w:tcPr>
            <w:tcW w:w="672" w:type="dxa"/>
          </w:tcPr>
          <w:p w14:paraId="6EE7A2B6"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4</w:t>
            </w:r>
          </w:p>
        </w:tc>
        <w:tc>
          <w:tcPr>
            <w:tcW w:w="5279" w:type="dxa"/>
          </w:tcPr>
          <w:p w14:paraId="475A06EB"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Low Income Measure (LIM)</w:t>
            </w:r>
          </w:p>
        </w:tc>
        <w:tc>
          <w:tcPr>
            <w:tcW w:w="2977" w:type="dxa"/>
          </w:tcPr>
          <w:p w14:paraId="63C8474D" w14:textId="16F29299"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3</w:t>
            </w:r>
          </w:p>
        </w:tc>
      </w:tr>
      <w:tr w:rsidR="005013A3" w14:paraId="04025BE5" w14:textId="77777777" w:rsidTr="004316C5">
        <w:trPr>
          <w:trHeight w:val="372"/>
        </w:trPr>
        <w:tc>
          <w:tcPr>
            <w:tcW w:w="672" w:type="dxa"/>
          </w:tcPr>
          <w:p w14:paraId="41B7B877"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5</w:t>
            </w:r>
          </w:p>
        </w:tc>
        <w:tc>
          <w:tcPr>
            <w:tcW w:w="5279" w:type="dxa"/>
          </w:tcPr>
          <w:p w14:paraId="402C7D8E"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Low-Income Cut Off (LICO)</w:t>
            </w:r>
          </w:p>
        </w:tc>
        <w:tc>
          <w:tcPr>
            <w:tcW w:w="2977" w:type="dxa"/>
          </w:tcPr>
          <w:p w14:paraId="05D97FA4" w14:textId="10CEDF78"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3</w:t>
            </w:r>
          </w:p>
        </w:tc>
      </w:tr>
      <w:tr w:rsidR="005013A3" w14:paraId="407BFA88" w14:textId="77777777" w:rsidTr="004316C5">
        <w:trPr>
          <w:trHeight w:val="372"/>
        </w:trPr>
        <w:tc>
          <w:tcPr>
            <w:tcW w:w="8929" w:type="dxa"/>
            <w:gridSpan w:val="3"/>
            <w:shd w:val="clear" w:color="auto" w:fill="D0CECE" w:themeFill="background2" w:themeFillShade="E6"/>
          </w:tcPr>
          <w:p w14:paraId="698C2533" w14:textId="77777777" w:rsidR="005013A3" w:rsidRPr="005072C6" w:rsidRDefault="005013A3" w:rsidP="004316C5">
            <w:pPr>
              <w:widowControl w:val="0"/>
              <w:autoSpaceDE w:val="0"/>
              <w:autoSpaceDN w:val="0"/>
              <w:adjustRightInd w:val="0"/>
              <w:ind w:right="184"/>
              <w:rPr>
                <w:rFonts w:ascii="Calibri" w:hAnsi="Calibri" w:cs="Calibri"/>
                <w:b/>
                <w:noProof/>
                <w:color w:val="404040" w:themeColor="text1" w:themeTint="BF"/>
              </w:rPr>
            </w:pPr>
            <w:r w:rsidRPr="005072C6">
              <w:rPr>
                <w:rFonts w:ascii="Calibri" w:hAnsi="Calibri" w:cs="Calibri"/>
                <w:b/>
                <w:noProof/>
                <w:color w:val="404040" w:themeColor="text1" w:themeTint="BF"/>
              </w:rPr>
              <w:t>Population-Level – Multidimensional</w:t>
            </w:r>
          </w:p>
        </w:tc>
      </w:tr>
      <w:tr w:rsidR="005013A3" w14:paraId="6934A629" w14:textId="77777777" w:rsidTr="004316C5">
        <w:trPr>
          <w:trHeight w:val="372"/>
        </w:trPr>
        <w:tc>
          <w:tcPr>
            <w:tcW w:w="672" w:type="dxa"/>
          </w:tcPr>
          <w:p w14:paraId="6F47078C"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6</w:t>
            </w:r>
          </w:p>
        </w:tc>
        <w:tc>
          <w:tcPr>
            <w:tcW w:w="5279" w:type="dxa"/>
          </w:tcPr>
          <w:p w14:paraId="12F98564"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Deprivation Indexes</w:t>
            </w:r>
          </w:p>
        </w:tc>
        <w:tc>
          <w:tcPr>
            <w:tcW w:w="2977" w:type="dxa"/>
          </w:tcPr>
          <w:p w14:paraId="097F06CD" w14:textId="50BAF429"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4</w:t>
            </w:r>
          </w:p>
        </w:tc>
      </w:tr>
      <w:tr w:rsidR="005013A3" w14:paraId="667FE43B" w14:textId="77777777" w:rsidTr="004316C5">
        <w:trPr>
          <w:trHeight w:val="372"/>
        </w:trPr>
        <w:tc>
          <w:tcPr>
            <w:tcW w:w="672" w:type="dxa"/>
          </w:tcPr>
          <w:p w14:paraId="23D75BDF"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7</w:t>
            </w:r>
          </w:p>
        </w:tc>
        <w:tc>
          <w:tcPr>
            <w:tcW w:w="5279" w:type="dxa"/>
          </w:tcPr>
          <w:p w14:paraId="17EC3FD9"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Social Determinants of Health</w:t>
            </w:r>
          </w:p>
        </w:tc>
        <w:tc>
          <w:tcPr>
            <w:tcW w:w="2977" w:type="dxa"/>
          </w:tcPr>
          <w:p w14:paraId="5D5A2665" w14:textId="37495CA0"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4</w:t>
            </w:r>
          </w:p>
        </w:tc>
      </w:tr>
      <w:tr w:rsidR="005013A3" w14:paraId="6FA5EF4B" w14:textId="77777777" w:rsidTr="004316C5">
        <w:trPr>
          <w:trHeight w:val="372"/>
        </w:trPr>
        <w:tc>
          <w:tcPr>
            <w:tcW w:w="672" w:type="dxa"/>
          </w:tcPr>
          <w:p w14:paraId="536388B8"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8</w:t>
            </w:r>
          </w:p>
        </w:tc>
        <w:tc>
          <w:tcPr>
            <w:tcW w:w="5279" w:type="dxa"/>
          </w:tcPr>
          <w:p w14:paraId="2C80DA27"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Canadian Index of Wellbeing</w:t>
            </w:r>
          </w:p>
        </w:tc>
        <w:tc>
          <w:tcPr>
            <w:tcW w:w="2977" w:type="dxa"/>
          </w:tcPr>
          <w:p w14:paraId="663DE5CE" w14:textId="1EEC446C"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5</w:t>
            </w:r>
          </w:p>
        </w:tc>
      </w:tr>
      <w:tr w:rsidR="005013A3" w14:paraId="0451C496" w14:textId="77777777" w:rsidTr="004316C5">
        <w:trPr>
          <w:trHeight w:val="372"/>
        </w:trPr>
        <w:tc>
          <w:tcPr>
            <w:tcW w:w="8929" w:type="dxa"/>
            <w:gridSpan w:val="3"/>
            <w:shd w:val="clear" w:color="auto" w:fill="D0CECE" w:themeFill="background2" w:themeFillShade="E6"/>
          </w:tcPr>
          <w:p w14:paraId="4BD9F9D2" w14:textId="77777777" w:rsidR="005013A3" w:rsidRPr="005072C6" w:rsidRDefault="005013A3" w:rsidP="004316C5">
            <w:pPr>
              <w:widowControl w:val="0"/>
              <w:autoSpaceDE w:val="0"/>
              <w:autoSpaceDN w:val="0"/>
              <w:adjustRightInd w:val="0"/>
              <w:ind w:right="184"/>
              <w:rPr>
                <w:rFonts w:ascii="Calibri" w:hAnsi="Calibri" w:cs="Calibri"/>
                <w:b/>
                <w:noProof/>
                <w:color w:val="404040" w:themeColor="text1" w:themeTint="BF"/>
              </w:rPr>
            </w:pPr>
            <w:r w:rsidRPr="005072C6">
              <w:rPr>
                <w:rFonts w:ascii="Calibri" w:hAnsi="Calibri" w:cs="Calibri"/>
                <w:b/>
                <w:noProof/>
                <w:color w:val="404040" w:themeColor="text1" w:themeTint="BF"/>
              </w:rPr>
              <w:t>Population-Level – Quasi Uni/Multi Dimensional</w:t>
            </w:r>
          </w:p>
        </w:tc>
      </w:tr>
      <w:tr w:rsidR="005013A3" w14:paraId="39798D18" w14:textId="77777777" w:rsidTr="004316C5">
        <w:trPr>
          <w:trHeight w:val="372"/>
        </w:trPr>
        <w:tc>
          <w:tcPr>
            <w:tcW w:w="672" w:type="dxa"/>
          </w:tcPr>
          <w:p w14:paraId="4FEF530E"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9</w:t>
            </w:r>
          </w:p>
        </w:tc>
        <w:tc>
          <w:tcPr>
            <w:tcW w:w="5279" w:type="dxa"/>
          </w:tcPr>
          <w:p w14:paraId="2B523281" w14:textId="77777777"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Opportunity for All</w:t>
            </w:r>
          </w:p>
        </w:tc>
        <w:tc>
          <w:tcPr>
            <w:tcW w:w="2977" w:type="dxa"/>
          </w:tcPr>
          <w:p w14:paraId="0B68405B" w14:textId="325A3999" w:rsidR="005013A3" w:rsidRDefault="005013A3" w:rsidP="004316C5">
            <w:pPr>
              <w:widowControl w:val="0"/>
              <w:autoSpaceDE w:val="0"/>
              <w:autoSpaceDN w:val="0"/>
              <w:adjustRightInd w:val="0"/>
              <w:ind w:right="184"/>
              <w:rPr>
                <w:rFonts w:ascii="Calibri" w:hAnsi="Calibri" w:cs="Calibri"/>
                <w:noProof/>
                <w:color w:val="404040" w:themeColor="text1" w:themeTint="BF"/>
              </w:rPr>
            </w:pPr>
            <w:r>
              <w:rPr>
                <w:rFonts w:ascii="Calibri" w:hAnsi="Calibri" w:cs="Calibri"/>
                <w:noProof/>
                <w:color w:val="404040" w:themeColor="text1" w:themeTint="BF"/>
              </w:rPr>
              <w:t xml:space="preserve">Page </w:t>
            </w:r>
            <w:r>
              <w:rPr>
                <w:rFonts w:ascii="Calibri" w:hAnsi="Calibri" w:cs="Calibri"/>
                <w:noProof/>
                <w:color w:val="404040" w:themeColor="text1" w:themeTint="BF"/>
              </w:rPr>
              <w:t>5</w:t>
            </w:r>
          </w:p>
        </w:tc>
      </w:tr>
    </w:tbl>
    <w:p w14:paraId="0726A7BD"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0FDC537" w14:textId="77777777" w:rsidR="005013A3" w:rsidRDefault="005013A3" w:rsidP="005013A3">
      <w:pPr>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br w:type="page"/>
      </w:r>
    </w:p>
    <w:p w14:paraId="5283BABA" w14:textId="77777777" w:rsidR="005013A3" w:rsidRPr="008919B1"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r w:rsidRPr="008919B1">
        <w:rPr>
          <w:rFonts w:ascii="Calibri" w:hAnsi="Calibri" w:cs="Calibri"/>
          <w:b/>
          <w:noProof/>
          <w:color w:val="404040" w:themeColor="text1" w:themeTint="BF"/>
          <w:sz w:val="22"/>
          <w:szCs w:val="22"/>
        </w:rPr>
        <w:lastRenderedPageBreak/>
        <w:t>Programmatic &amp; Targeted Level Frameworks</w:t>
      </w:r>
    </w:p>
    <w:p w14:paraId="229F5334" w14:textId="77777777" w:rsidR="005013A3" w:rsidRDefault="005013A3" w:rsidP="005013A3">
      <w:pPr>
        <w:rPr>
          <w:rFonts w:ascii="Calibri" w:hAnsi="Calibri" w:cs="Calibri"/>
          <w:noProof/>
          <w:color w:val="404040" w:themeColor="text1" w:themeTint="BF"/>
          <w:sz w:val="22"/>
          <w:szCs w:val="22"/>
        </w:rPr>
      </w:pPr>
    </w:p>
    <w:p w14:paraId="5547BF5E" w14:textId="77777777" w:rsidR="005013A3" w:rsidRPr="00184F6F"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sidRPr="00FE1D77">
        <w:rPr>
          <w:noProof/>
        </w:rPr>
        <w:drawing>
          <wp:anchor distT="0" distB="0" distL="114300" distR="114300" simplePos="0" relativeHeight="251660288" behindDoc="0" locked="0" layoutInCell="1" allowOverlap="1" wp14:anchorId="608BCBA6" wp14:editId="6E107F96">
            <wp:simplePos x="0" y="0"/>
            <wp:positionH relativeFrom="column">
              <wp:posOffset>2866148</wp:posOffset>
            </wp:positionH>
            <wp:positionV relativeFrom="paragraph">
              <wp:posOffset>63500</wp:posOffset>
            </wp:positionV>
            <wp:extent cx="3143885" cy="2331720"/>
            <wp:effectExtent l="0" t="0" r="5715" b="5080"/>
            <wp:wrapSquare wrapText="bothSides"/>
            <wp:docPr id="13" name="Picture 8" descr="Table&#10;&#10;Description automatically generated">
              <a:extLst xmlns:a="http://schemas.openxmlformats.org/drawingml/2006/main">
                <a:ext uri="{FF2B5EF4-FFF2-40B4-BE49-F238E27FC236}">
                  <a16:creationId xmlns:a16="http://schemas.microsoft.com/office/drawing/2014/main" id="{CD675FF6-263C-4462-997F-5C87E9FB33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Table&#10;&#10;Description automatically generated">
                      <a:extLst>
                        <a:ext uri="{FF2B5EF4-FFF2-40B4-BE49-F238E27FC236}">
                          <a16:creationId xmlns:a16="http://schemas.microsoft.com/office/drawing/2014/main" id="{CD675FF6-263C-4462-997F-5C87E9FB335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885" cy="2331720"/>
                    </a:xfrm>
                    <a:prstGeom prst="rect">
                      <a:avLst/>
                    </a:prstGeom>
                  </pic:spPr>
                </pic:pic>
              </a:graphicData>
            </a:graphic>
            <wp14:sizeRelH relativeFrom="margin">
              <wp14:pctWidth>0</wp14:pctWidth>
            </wp14:sizeRelH>
            <wp14:sizeRelV relativeFrom="margin">
              <wp14:pctHeight>0</wp14:pctHeight>
            </wp14:sizeRelV>
          </wp:anchor>
        </w:drawing>
      </w:r>
      <w:r w:rsidRPr="009B1F04">
        <w:rPr>
          <w:rFonts w:ascii="Calibri" w:hAnsi="Calibri" w:cs="Calibri"/>
          <w:b/>
          <w:noProof/>
          <w:color w:val="404040" w:themeColor="text1" w:themeTint="BF"/>
          <w:sz w:val="22"/>
          <w:szCs w:val="22"/>
        </w:rPr>
        <w:t xml:space="preserve">Self-Sufficiency </w:t>
      </w:r>
      <w:r>
        <w:rPr>
          <w:rFonts w:ascii="Calibri" w:hAnsi="Calibri" w:cs="Calibri"/>
          <w:b/>
          <w:noProof/>
          <w:color w:val="404040" w:themeColor="text1" w:themeTint="BF"/>
          <w:sz w:val="22"/>
          <w:szCs w:val="22"/>
        </w:rPr>
        <w:t>Scales</w:t>
      </w:r>
    </w:p>
    <w:p w14:paraId="3C854BF2" w14:textId="77777777" w:rsidR="005013A3" w:rsidRDefault="005013A3" w:rsidP="005013A3">
      <w:pPr>
        <w:pStyle w:val="ListParagraph"/>
        <w:widowControl w:val="0"/>
        <w:numPr>
          <w:ilvl w:val="0"/>
          <w:numId w:val="4"/>
        </w:numPr>
        <w:autoSpaceDE w:val="0"/>
        <w:autoSpaceDN w:val="0"/>
        <w:adjustRightInd w:val="0"/>
        <w:spacing w:before="120"/>
        <w:ind w:left="714" w:right="181" w:hanging="357"/>
        <w:contextualSpacing w:val="0"/>
        <w:rPr>
          <w:rFonts w:ascii="Calibri" w:hAnsi="Calibri" w:cs="Calibri"/>
          <w:bCs/>
          <w:noProof/>
          <w:color w:val="404040" w:themeColor="text1" w:themeTint="BF"/>
          <w:sz w:val="22"/>
          <w:szCs w:val="22"/>
        </w:rPr>
      </w:pPr>
      <w:r>
        <w:rPr>
          <w:rFonts w:ascii="Calibri" w:hAnsi="Calibri" w:cs="Calibri"/>
          <w:bCs/>
          <w:noProof/>
          <w:color w:val="404040" w:themeColor="text1" w:themeTint="BF"/>
          <w:sz w:val="22"/>
          <w:szCs w:val="22"/>
        </w:rPr>
        <w:t>Scales help assess degree of a person’s self-sufficiency from minimal to maximal self-sufficiency.</w:t>
      </w:r>
    </w:p>
    <w:p w14:paraId="60BF51BD" w14:textId="77777777" w:rsidR="005013A3" w:rsidRPr="00184F6F" w:rsidRDefault="005013A3" w:rsidP="005013A3">
      <w:pPr>
        <w:pStyle w:val="ListParagraph"/>
        <w:widowControl w:val="0"/>
        <w:numPr>
          <w:ilvl w:val="0"/>
          <w:numId w:val="4"/>
        </w:numPr>
        <w:autoSpaceDE w:val="0"/>
        <w:autoSpaceDN w:val="0"/>
        <w:adjustRightInd w:val="0"/>
        <w:spacing w:before="120"/>
        <w:ind w:left="714" w:right="181" w:hanging="357"/>
        <w:contextualSpacing w:val="0"/>
        <w:rPr>
          <w:rFonts w:ascii="Calibri" w:hAnsi="Calibri" w:cs="Calibri"/>
          <w:bCs/>
          <w:noProof/>
          <w:color w:val="404040" w:themeColor="text1" w:themeTint="BF"/>
          <w:sz w:val="22"/>
          <w:szCs w:val="22"/>
        </w:rPr>
      </w:pPr>
      <w:r>
        <w:rPr>
          <w:rFonts w:ascii="Calibri" w:hAnsi="Calibri" w:cs="Calibri"/>
          <w:bCs/>
          <w:noProof/>
          <w:color w:val="404040" w:themeColor="text1" w:themeTint="BF"/>
          <w:sz w:val="22"/>
          <w:szCs w:val="22"/>
        </w:rPr>
        <w:t>Tracks against 18-24 different domains.</w:t>
      </w:r>
    </w:p>
    <w:p w14:paraId="26AF9CCC" w14:textId="77777777" w:rsidR="005013A3" w:rsidRDefault="005013A3" w:rsidP="005013A3">
      <w:pPr>
        <w:pStyle w:val="ListParagraph"/>
        <w:widowControl w:val="0"/>
        <w:numPr>
          <w:ilvl w:val="0"/>
          <w:numId w:val="4"/>
        </w:numPr>
        <w:autoSpaceDE w:val="0"/>
        <w:autoSpaceDN w:val="0"/>
        <w:adjustRightInd w:val="0"/>
        <w:spacing w:before="120"/>
        <w:ind w:left="714" w:right="181" w:hanging="357"/>
        <w:contextualSpacing w:val="0"/>
        <w:rPr>
          <w:rFonts w:ascii="Calibri" w:hAnsi="Calibri" w:cs="Calibri"/>
          <w:bCs/>
          <w:noProof/>
          <w:color w:val="404040" w:themeColor="text1" w:themeTint="BF"/>
          <w:sz w:val="22"/>
          <w:szCs w:val="22"/>
        </w:rPr>
      </w:pPr>
      <w:r>
        <w:rPr>
          <w:rFonts w:ascii="Calibri" w:hAnsi="Calibri" w:cs="Calibri"/>
          <w:bCs/>
          <w:noProof/>
          <w:color w:val="404040" w:themeColor="text1" w:themeTint="BF"/>
          <w:sz w:val="22"/>
          <w:szCs w:val="22"/>
        </w:rPr>
        <w:t xml:space="preserve">Well-documented and tesed. </w:t>
      </w:r>
    </w:p>
    <w:p w14:paraId="3A1F0F7B" w14:textId="77777777" w:rsidR="005013A3" w:rsidRPr="00943486" w:rsidRDefault="005013A3" w:rsidP="005013A3">
      <w:pPr>
        <w:pStyle w:val="ListParagraph"/>
        <w:widowControl w:val="0"/>
        <w:numPr>
          <w:ilvl w:val="0"/>
          <w:numId w:val="4"/>
        </w:numPr>
        <w:autoSpaceDE w:val="0"/>
        <w:autoSpaceDN w:val="0"/>
        <w:adjustRightInd w:val="0"/>
        <w:spacing w:before="120"/>
        <w:ind w:left="714" w:right="181" w:hanging="357"/>
        <w:contextualSpacing w:val="0"/>
        <w:rPr>
          <w:rFonts w:ascii="Calibri" w:hAnsi="Calibri" w:cs="Calibri"/>
          <w:bCs/>
          <w:noProof/>
          <w:color w:val="404040" w:themeColor="text1" w:themeTint="BF"/>
          <w:sz w:val="22"/>
          <w:szCs w:val="22"/>
        </w:rPr>
      </w:pPr>
      <w:r>
        <w:rPr>
          <w:rFonts w:ascii="Calibri" w:hAnsi="Calibri" w:cs="Calibri"/>
          <w:bCs/>
          <w:noProof/>
          <w:color w:val="404040" w:themeColor="text1" w:themeTint="BF"/>
          <w:sz w:val="22"/>
          <w:szCs w:val="22"/>
        </w:rPr>
        <w:t>Popular amongst practitioners and policymakers in healthcare, social services, and related fields. Particularly used in the United States.</w:t>
      </w:r>
    </w:p>
    <w:p w14:paraId="54A1C590" w14:textId="77777777" w:rsidR="005013A3" w:rsidRPr="00265E9A" w:rsidRDefault="005013A3" w:rsidP="005013A3">
      <w:pPr>
        <w:pStyle w:val="ListParagraph"/>
        <w:widowControl w:val="0"/>
        <w:numPr>
          <w:ilvl w:val="0"/>
          <w:numId w:val="4"/>
        </w:numPr>
        <w:autoSpaceDE w:val="0"/>
        <w:autoSpaceDN w:val="0"/>
        <w:adjustRightInd w:val="0"/>
        <w:spacing w:before="120"/>
        <w:ind w:left="714" w:right="181" w:hanging="357"/>
        <w:contextualSpacing w:val="0"/>
        <w:rPr>
          <w:rFonts w:ascii="Calibri" w:hAnsi="Calibri" w:cs="Calibri"/>
          <w:bCs/>
          <w:noProof/>
          <w:color w:val="404040" w:themeColor="text1" w:themeTint="BF"/>
          <w:sz w:val="22"/>
          <w:szCs w:val="22"/>
        </w:rPr>
      </w:pPr>
      <w:r>
        <w:rPr>
          <w:rFonts w:ascii="Calibri" w:hAnsi="Calibri" w:cs="Calibri"/>
          <w:bCs/>
          <w:noProof/>
          <w:color w:val="404040" w:themeColor="text1" w:themeTint="BF"/>
          <w:sz w:val="22"/>
          <w:szCs w:val="22"/>
        </w:rPr>
        <w:t>Limitations: Language doesn’t appeal to everyone; may be too rigid.</w:t>
      </w:r>
    </w:p>
    <w:p w14:paraId="5D250405"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018246E" w14:textId="77777777" w:rsidR="005013A3" w:rsidRDefault="005013A3" w:rsidP="005013A3">
      <w:pPr>
        <w:widowControl w:val="0"/>
        <w:autoSpaceDE w:val="0"/>
        <w:autoSpaceDN w:val="0"/>
        <w:adjustRightInd w:val="0"/>
        <w:ind w:right="184"/>
        <w:rPr>
          <w:rStyle w:val="Hyperlink"/>
          <w:rFonts w:ascii="Calibri" w:eastAsiaTheme="minorEastAsia" w:hAnsi="Calibri" w:cs="Calibri"/>
          <w:noProof/>
        </w:rPr>
      </w:pPr>
      <w:hyperlink r:id="rId8" w:history="1">
        <w:r w:rsidRPr="00FE1D77">
          <w:rPr>
            <w:rStyle w:val="Hyperlink"/>
            <w:rFonts w:ascii="Calibri" w:eastAsiaTheme="minorEastAsia" w:hAnsi="Calibri" w:cs="Calibri"/>
            <w:noProof/>
          </w:rPr>
          <w:t xml:space="preserve">Read more about self-sufficiency scales </w:t>
        </w:r>
      </w:hyperlink>
    </w:p>
    <w:p w14:paraId="693A9063"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06C20CB2" w14:textId="77777777" w:rsidR="005013A3" w:rsidRDefault="005013A3" w:rsidP="005013A3">
      <w:pPr>
        <w:rPr>
          <w:rFonts w:ascii="Calibri" w:hAnsi="Calibri" w:cs="Calibri"/>
          <w:noProof/>
          <w:color w:val="404040" w:themeColor="text1" w:themeTint="BF"/>
          <w:sz w:val="22"/>
          <w:szCs w:val="22"/>
        </w:rPr>
      </w:pPr>
    </w:p>
    <w:p w14:paraId="5D6DBD43" w14:textId="77777777" w:rsidR="005013A3" w:rsidRPr="00005EC1"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sidRPr="00005EC1">
        <w:rPr>
          <w:rFonts w:ascii="Calibri" w:hAnsi="Calibri" w:cs="Calibri"/>
          <w:b/>
          <w:noProof/>
          <w:color w:val="404040" w:themeColor="text1" w:themeTint="BF"/>
          <w:sz w:val="22"/>
          <w:szCs w:val="22"/>
        </w:rPr>
        <w:t>Sustainable Livelihoods</w:t>
      </w:r>
    </w:p>
    <w:p w14:paraId="5602A0CF" w14:textId="77777777" w:rsidR="005013A3" w:rsidRPr="00184F6F"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Asset-based framework; uses positive language (ex. building resiliency, resiliency assets).</w:t>
      </w:r>
    </w:p>
    <w:p w14:paraId="3DE00D80" w14:textId="77777777" w:rsidR="005013A3"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Poverty reduction is the accumulation of ‘livelihood assets’ in five domains (financial, human, social, personal, and physical) until individuals are resilient enough to climb out of poverty and can prevent from falling back into it.</w:t>
      </w:r>
    </w:p>
    <w:p w14:paraId="5772BB58" w14:textId="77777777" w:rsidR="005013A3"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sidRPr="009C562D">
        <w:rPr>
          <w:noProof/>
        </w:rPr>
        <w:drawing>
          <wp:anchor distT="0" distB="0" distL="114300" distR="114300" simplePos="0" relativeHeight="251663360" behindDoc="0" locked="0" layoutInCell="1" allowOverlap="1" wp14:anchorId="09FB86FF" wp14:editId="11768E86">
            <wp:simplePos x="0" y="0"/>
            <wp:positionH relativeFrom="column">
              <wp:posOffset>2861761</wp:posOffset>
            </wp:positionH>
            <wp:positionV relativeFrom="paragraph">
              <wp:posOffset>47625</wp:posOffset>
            </wp:positionV>
            <wp:extent cx="3050540" cy="2004060"/>
            <wp:effectExtent l="0" t="0" r="0" b="2540"/>
            <wp:wrapSquare wrapText="bothSides"/>
            <wp:docPr id="15" name="Picture 6" descr="Diagram&#10;&#10;Description automatically generated">
              <a:extLst xmlns:a="http://schemas.openxmlformats.org/drawingml/2006/main">
                <a:ext uri="{FF2B5EF4-FFF2-40B4-BE49-F238E27FC236}">
                  <a16:creationId xmlns:a16="http://schemas.microsoft.com/office/drawing/2014/main" id="{64126F21-36E1-4C21-B806-59AD4D655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Diagram&#10;&#10;Description automatically generated">
                      <a:extLst>
                        <a:ext uri="{FF2B5EF4-FFF2-40B4-BE49-F238E27FC236}">
                          <a16:creationId xmlns:a16="http://schemas.microsoft.com/office/drawing/2014/main" id="{64126F21-36E1-4C21-B806-59AD4D655C3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0540" cy="200406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color w:val="404040" w:themeColor="text1" w:themeTint="BF"/>
          <w:sz w:val="22"/>
          <w:szCs w:val="22"/>
        </w:rPr>
        <w:t>Can be a design tool or</w:t>
      </w:r>
      <w:r w:rsidRPr="00184F6F">
        <w:rPr>
          <w:rFonts w:ascii="Calibri" w:hAnsi="Calibri" w:cs="Calibri"/>
          <w:noProof/>
          <w:color w:val="404040" w:themeColor="text1" w:themeTint="BF"/>
          <w:sz w:val="22"/>
          <w:szCs w:val="22"/>
        </w:rPr>
        <w:t xml:space="preserve"> assess progress against systems change and programmatic interventions</w:t>
      </w:r>
      <w:r>
        <w:rPr>
          <w:rFonts w:ascii="Calibri" w:hAnsi="Calibri" w:cs="Calibri"/>
          <w:noProof/>
          <w:color w:val="404040" w:themeColor="text1" w:themeTint="BF"/>
          <w:sz w:val="22"/>
          <w:szCs w:val="22"/>
        </w:rPr>
        <w:t>.</w:t>
      </w:r>
    </w:p>
    <w:p w14:paraId="678A029F" w14:textId="77777777" w:rsidR="005013A3"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Measure progress in five major and dozens of minor domains of impact (ex. financial assets include income, savings, etc.).</w:t>
      </w:r>
    </w:p>
    <w:p w14:paraId="34937DEE" w14:textId="77777777" w:rsidR="005013A3" w:rsidRPr="00943486"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Allows participants to track their journey from crisis to thriving.</w:t>
      </w:r>
    </w:p>
    <w:p w14:paraId="1952EA15" w14:textId="77777777" w:rsidR="005013A3"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Widely used in international development and some poverty reduction work in Canada.</w:t>
      </w:r>
    </w:p>
    <w:p w14:paraId="1CEADA35" w14:textId="77777777" w:rsidR="005013A3" w:rsidRPr="00184F6F" w:rsidRDefault="005013A3" w:rsidP="005013A3">
      <w:pPr>
        <w:pStyle w:val="ListParagraph"/>
        <w:widowControl w:val="0"/>
        <w:numPr>
          <w:ilvl w:val="0"/>
          <w:numId w:val="5"/>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Limitations: time intensive; difficult to aggregate and compare results; no common ‘threshold’ under each domain.</w:t>
      </w:r>
      <w:r w:rsidRPr="00184F6F">
        <w:rPr>
          <w:rFonts w:ascii="Calibri" w:hAnsi="Calibri" w:cs="Calibri"/>
          <w:noProof/>
          <w:color w:val="404040" w:themeColor="text1" w:themeTint="BF"/>
          <w:sz w:val="22"/>
          <w:szCs w:val="22"/>
        </w:rPr>
        <w:t xml:space="preserve"> </w:t>
      </w:r>
    </w:p>
    <w:p w14:paraId="78C1EE07"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42D58D63" w14:textId="77777777" w:rsidR="005013A3" w:rsidRPr="00557B6F" w:rsidRDefault="005013A3" w:rsidP="005013A3">
      <w:pPr>
        <w:widowControl w:val="0"/>
        <w:autoSpaceDE w:val="0"/>
        <w:autoSpaceDN w:val="0"/>
        <w:adjustRightInd w:val="0"/>
        <w:ind w:right="184"/>
        <w:rPr>
          <w:rFonts w:ascii="Calibri" w:hAnsi="Calibri" w:cs="Calibri"/>
          <w:noProof/>
          <w:color w:val="0000FF"/>
          <w:sz w:val="22"/>
          <w:szCs w:val="22"/>
          <w:u w:val="single"/>
        </w:rPr>
      </w:pPr>
      <w:hyperlink r:id="rId10" w:history="1">
        <w:r w:rsidRPr="009C562D">
          <w:rPr>
            <w:rStyle w:val="Hyperlink"/>
            <w:rFonts w:ascii="Calibri" w:eastAsiaTheme="minorEastAsia" w:hAnsi="Calibri" w:cs="Calibri"/>
            <w:noProof/>
          </w:rPr>
          <w:t>Read more about Sustainable Livelihoods</w:t>
        </w:r>
      </w:hyperlink>
    </w:p>
    <w:p w14:paraId="159DD8C6" w14:textId="77777777" w:rsidR="005013A3" w:rsidRPr="005072C6" w:rsidRDefault="005013A3" w:rsidP="005013A3">
      <w:pPr>
        <w:widowControl w:val="0"/>
        <w:autoSpaceDE w:val="0"/>
        <w:autoSpaceDN w:val="0"/>
        <w:adjustRightInd w:val="0"/>
        <w:ind w:right="184"/>
        <w:jc w:val="center"/>
        <w:rPr>
          <w:rFonts w:ascii="Calibri" w:hAnsi="Calibri" w:cs="Calibri"/>
          <w:noProof/>
          <w:color w:val="404040" w:themeColor="text1" w:themeTint="BF"/>
          <w:sz w:val="22"/>
          <w:szCs w:val="22"/>
        </w:rPr>
      </w:pPr>
    </w:p>
    <w:p w14:paraId="6391D42F" w14:textId="77777777" w:rsidR="005013A3"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p>
    <w:p w14:paraId="6C85E803" w14:textId="77777777" w:rsidR="005013A3" w:rsidRDefault="005013A3" w:rsidP="005013A3">
      <w:pPr>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br w:type="page"/>
      </w:r>
    </w:p>
    <w:p w14:paraId="6822AC3B" w14:textId="77777777" w:rsidR="005013A3"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lastRenderedPageBreak/>
        <w:t>Population-Level Frameworks – Unidimensional, Income-Based Measures</w:t>
      </w:r>
    </w:p>
    <w:p w14:paraId="15363811" w14:textId="77777777" w:rsidR="005013A3" w:rsidRPr="00557B6F"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p>
    <w:p w14:paraId="5C11957A" w14:textId="77777777" w:rsidR="005013A3" w:rsidRPr="008B3343" w:rsidRDefault="005013A3" w:rsidP="005013A3">
      <w:pPr>
        <w:widowControl w:val="0"/>
        <w:autoSpaceDE w:val="0"/>
        <w:autoSpaceDN w:val="0"/>
        <w:adjustRightInd w:val="0"/>
        <w:ind w:left="360" w:right="184" w:hanging="360"/>
        <w:rPr>
          <w:rFonts w:ascii="Calibri" w:hAnsi="Calibri" w:cs="Calibri"/>
          <w:noProof/>
          <w:color w:val="404040" w:themeColor="text1" w:themeTint="BF"/>
          <w:sz w:val="22"/>
          <w:szCs w:val="22"/>
        </w:rPr>
      </w:pPr>
    </w:p>
    <w:p w14:paraId="29A05718" w14:textId="77777777" w:rsidR="005013A3"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drawing>
          <wp:anchor distT="0" distB="0" distL="114300" distR="114300" simplePos="0" relativeHeight="251664384" behindDoc="0" locked="0" layoutInCell="1" allowOverlap="1" wp14:anchorId="0C4672C4" wp14:editId="05AD72A4">
            <wp:simplePos x="0" y="0"/>
            <wp:positionH relativeFrom="column">
              <wp:posOffset>2349500</wp:posOffset>
            </wp:positionH>
            <wp:positionV relativeFrom="paragraph">
              <wp:posOffset>9525</wp:posOffset>
            </wp:positionV>
            <wp:extent cx="3556635" cy="2225040"/>
            <wp:effectExtent l="0" t="0" r="0" b="0"/>
            <wp:wrapSquare wrapText="bothSides"/>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6635" cy="22250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color w:val="404040" w:themeColor="text1" w:themeTint="BF"/>
          <w:sz w:val="22"/>
          <w:szCs w:val="22"/>
        </w:rPr>
        <w:t>Market Basket Measure (MBM)</w:t>
      </w:r>
    </w:p>
    <w:p w14:paraId="0739EB2B" w14:textId="77777777" w:rsidR="005013A3" w:rsidRDefault="005013A3" w:rsidP="005013A3">
      <w:pPr>
        <w:pStyle w:val="ListParagraph"/>
        <w:widowControl w:val="0"/>
        <w:numPr>
          <w:ilvl w:val="0"/>
          <w:numId w:val="6"/>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Measures low income based on the cost of a specific basket of goods and services representing a modest, basic standard of living; adjusted for family and community size</w:t>
      </w:r>
    </w:p>
    <w:p w14:paraId="53FF93FB" w14:textId="77777777" w:rsidR="005013A3" w:rsidRDefault="005013A3" w:rsidP="005013A3">
      <w:pPr>
        <w:pStyle w:val="ListParagraph"/>
        <w:widowControl w:val="0"/>
        <w:numPr>
          <w:ilvl w:val="0"/>
          <w:numId w:val="6"/>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This income measure is more sensitive than LICO to different costs of living in various provinces and cities; is now considered a more valid indicator of poverty than LICO</w:t>
      </w:r>
    </w:p>
    <w:p w14:paraId="0EDCE957" w14:textId="77777777" w:rsidR="005013A3" w:rsidRPr="00943486" w:rsidRDefault="005013A3" w:rsidP="005013A3">
      <w:pPr>
        <w:pStyle w:val="ListParagraph"/>
        <w:widowControl w:val="0"/>
        <w:numPr>
          <w:ilvl w:val="0"/>
          <w:numId w:val="6"/>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Limitations: only tracks income; updated every five years with an 18-month publication delay based on census data; currently only tracks 50 communities</w:t>
      </w:r>
    </w:p>
    <w:p w14:paraId="4BF06A53"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612BC313"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hyperlink r:id="rId12" w:history="1">
        <w:r w:rsidRPr="00141FB7">
          <w:rPr>
            <w:rStyle w:val="Hyperlink"/>
            <w:rFonts w:ascii="Calibri" w:eastAsiaTheme="minorEastAsia" w:hAnsi="Calibri" w:cs="Calibri"/>
            <w:noProof/>
          </w:rPr>
          <w:t xml:space="preserve">Read more about the </w:t>
        </w:r>
        <w:r>
          <w:rPr>
            <w:rStyle w:val="Hyperlink"/>
            <w:rFonts w:ascii="Calibri" w:eastAsiaTheme="minorEastAsia" w:hAnsi="Calibri" w:cs="Calibri"/>
            <w:noProof/>
          </w:rPr>
          <w:t>MBM</w:t>
        </w:r>
      </w:hyperlink>
    </w:p>
    <w:p w14:paraId="66E79055"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5C990450" w14:textId="77777777" w:rsidR="005013A3" w:rsidRPr="00141FB7"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5475F6E" w14:textId="77777777" w:rsidR="005013A3"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t>Low-Income Measure (LIM)</w:t>
      </w:r>
    </w:p>
    <w:p w14:paraId="4E24EE27" w14:textId="77777777" w:rsidR="005013A3" w:rsidRDefault="005013A3" w:rsidP="005013A3">
      <w:pPr>
        <w:pStyle w:val="ListParagraph"/>
        <w:widowControl w:val="0"/>
        <w:numPr>
          <w:ilvl w:val="0"/>
          <w:numId w:val="7"/>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Low income is defined as 50% of median income, adjusted for family and community size.</w:t>
      </w:r>
    </w:p>
    <w:p w14:paraId="79D13D49" w14:textId="77777777" w:rsidR="005013A3" w:rsidRDefault="005013A3" w:rsidP="005013A3">
      <w:pPr>
        <w:pStyle w:val="ListParagraph"/>
        <w:widowControl w:val="0"/>
        <w:numPr>
          <w:ilvl w:val="0"/>
          <w:numId w:val="7"/>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Choice to track pre-tax, post-tax or market income.</w:t>
      </w:r>
    </w:p>
    <w:p w14:paraId="6B2901AB" w14:textId="77777777" w:rsidR="005013A3" w:rsidRDefault="005013A3" w:rsidP="005013A3">
      <w:pPr>
        <w:pStyle w:val="ListParagraph"/>
        <w:widowControl w:val="0"/>
        <w:numPr>
          <w:ilvl w:val="0"/>
          <w:numId w:val="7"/>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Statistics released annually, based on tax-filer data.</w:t>
      </w:r>
    </w:p>
    <w:p w14:paraId="1F31E98B" w14:textId="77777777" w:rsidR="005013A3" w:rsidRDefault="005013A3" w:rsidP="005013A3">
      <w:pPr>
        <w:pStyle w:val="ListParagraph"/>
        <w:widowControl w:val="0"/>
        <w:numPr>
          <w:ilvl w:val="0"/>
          <w:numId w:val="7"/>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Used as the international standard for measuring low-income.</w:t>
      </w:r>
    </w:p>
    <w:p w14:paraId="58D94D0A" w14:textId="77777777" w:rsidR="005013A3" w:rsidRPr="003F33C2" w:rsidRDefault="005013A3" w:rsidP="005013A3">
      <w:pPr>
        <w:pStyle w:val="ListParagraph"/>
        <w:widowControl w:val="0"/>
        <w:numPr>
          <w:ilvl w:val="0"/>
          <w:numId w:val="7"/>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Limitations: C</w:t>
      </w:r>
      <w:r w:rsidRPr="003F33C2">
        <w:rPr>
          <w:rFonts w:ascii="Calibri" w:hAnsi="Calibri" w:cs="Calibri"/>
          <w:noProof/>
          <w:color w:val="404040" w:themeColor="text1" w:themeTint="BF"/>
          <w:sz w:val="22"/>
          <w:szCs w:val="22"/>
        </w:rPr>
        <w:t>ost – it must be purchased from Canada Revenue Agency</w:t>
      </w:r>
      <w:r>
        <w:rPr>
          <w:rFonts w:ascii="Calibri" w:hAnsi="Calibri" w:cs="Calibri"/>
          <w:noProof/>
          <w:color w:val="404040" w:themeColor="text1" w:themeTint="BF"/>
          <w:sz w:val="22"/>
          <w:szCs w:val="22"/>
        </w:rPr>
        <w:t>; only tracks income.</w:t>
      </w:r>
    </w:p>
    <w:p w14:paraId="236D66C8" w14:textId="77777777" w:rsidR="005013A3"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p>
    <w:p w14:paraId="370CBA95" w14:textId="77777777" w:rsidR="005013A3" w:rsidRDefault="005013A3" w:rsidP="005013A3">
      <w:pPr>
        <w:widowControl w:val="0"/>
        <w:autoSpaceDE w:val="0"/>
        <w:autoSpaceDN w:val="0"/>
        <w:adjustRightInd w:val="0"/>
        <w:ind w:right="184"/>
        <w:rPr>
          <w:rStyle w:val="Hyperlink"/>
          <w:rFonts w:ascii="Calibri" w:eastAsiaTheme="minorEastAsia" w:hAnsi="Calibri" w:cs="Calibri"/>
          <w:noProof/>
        </w:rPr>
      </w:pPr>
      <w:hyperlink r:id="rId13" w:history="1">
        <w:r w:rsidRPr="00141FB7">
          <w:rPr>
            <w:rStyle w:val="Hyperlink"/>
            <w:rFonts w:ascii="Calibri" w:eastAsiaTheme="minorEastAsia" w:hAnsi="Calibri" w:cs="Calibri"/>
            <w:noProof/>
          </w:rPr>
          <w:t>Read more about LIM</w:t>
        </w:r>
      </w:hyperlink>
    </w:p>
    <w:p w14:paraId="7E5EBB3E" w14:textId="77777777" w:rsidR="005013A3" w:rsidRDefault="005013A3" w:rsidP="005013A3">
      <w:pPr>
        <w:widowControl w:val="0"/>
        <w:autoSpaceDE w:val="0"/>
        <w:autoSpaceDN w:val="0"/>
        <w:adjustRightInd w:val="0"/>
        <w:ind w:right="184"/>
        <w:rPr>
          <w:rStyle w:val="Hyperlink"/>
          <w:rFonts w:ascii="Calibri" w:eastAsiaTheme="minorEastAsia" w:hAnsi="Calibri" w:cs="Calibri"/>
          <w:noProof/>
        </w:rPr>
      </w:pPr>
    </w:p>
    <w:p w14:paraId="134246EB" w14:textId="77777777" w:rsidR="005013A3" w:rsidRDefault="005013A3" w:rsidP="005013A3">
      <w:pPr>
        <w:widowControl w:val="0"/>
        <w:autoSpaceDE w:val="0"/>
        <w:autoSpaceDN w:val="0"/>
        <w:adjustRightInd w:val="0"/>
        <w:ind w:right="184"/>
        <w:rPr>
          <w:rStyle w:val="Hyperlink"/>
          <w:rFonts w:ascii="Calibri" w:eastAsiaTheme="minorEastAsia" w:hAnsi="Calibri" w:cs="Calibri"/>
          <w:noProof/>
        </w:rPr>
      </w:pPr>
    </w:p>
    <w:p w14:paraId="70A74F8E" w14:textId="77777777" w:rsidR="005013A3" w:rsidRDefault="005013A3" w:rsidP="005013A3">
      <w:pPr>
        <w:pStyle w:val="ListParagraph"/>
        <w:widowControl w:val="0"/>
        <w:numPr>
          <w:ilvl w:val="0"/>
          <w:numId w:val="2"/>
        </w:numPr>
        <w:autoSpaceDE w:val="0"/>
        <w:autoSpaceDN w:val="0"/>
        <w:adjustRightInd w:val="0"/>
        <w:ind w:right="184"/>
        <w:rPr>
          <w:rFonts w:ascii="Calibri" w:hAnsi="Calibri" w:cs="Calibri"/>
          <w:noProof/>
          <w:color w:val="404040" w:themeColor="text1" w:themeTint="BF"/>
          <w:sz w:val="22"/>
          <w:szCs w:val="22"/>
        </w:rPr>
      </w:pPr>
      <w:r>
        <w:rPr>
          <w:rFonts w:ascii="Calibri" w:hAnsi="Calibri" w:cs="Calibri"/>
          <w:b/>
          <w:noProof/>
          <w:color w:val="404040" w:themeColor="text1" w:themeTint="BF"/>
          <w:sz w:val="22"/>
          <w:szCs w:val="22"/>
        </w:rPr>
        <w:t>Low-Income Cut-Off (LICO)</w:t>
      </w:r>
    </w:p>
    <w:p w14:paraId="5DA3DE8A" w14:textId="77777777" w:rsidR="005013A3" w:rsidRDefault="005013A3" w:rsidP="005013A3">
      <w:pPr>
        <w:pStyle w:val="ListParagraph"/>
        <w:widowControl w:val="0"/>
        <w:numPr>
          <w:ilvl w:val="0"/>
          <w:numId w:val="8"/>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Low income is defined as spending 20% or more than the average family on</w:t>
      </w:r>
      <w:r w:rsidRPr="003F33C2">
        <w:rPr>
          <w:rFonts w:ascii="Calibri" w:hAnsi="Calibri" w:cs="Calibri"/>
          <w:noProof/>
          <w:color w:val="404040" w:themeColor="text1" w:themeTint="BF"/>
          <w:sz w:val="22"/>
          <w:szCs w:val="22"/>
        </w:rPr>
        <w:t xml:space="preserve"> </w:t>
      </w:r>
      <w:r>
        <w:rPr>
          <w:rFonts w:ascii="Calibri" w:hAnsi="Calibri" w:cs="Calibri"/>
          <w:noProof/>
          <w:color w:val="404040" w:themeColor="text1" w:themeTint="BF"/>
          <w:sz w:val="22"/>
          <w:szCs w:val="22"/>
        </w:rPr>
        <w:t xml:space="preserve">basic </w:t>
      </w:r>
      <w:r w:rsidRPr="003F33C2">
        <w:rPr>
          <w:rFonts w:ascii="Calibri" w:hAnsi="Calibri" w:cs="Calibri"/>
          <w:noProof/>
          <w:color w:val="404040" w:themeColor="text1" w:themeTint="BF"/>
          <w:sz w:val="22"/>
          <w:szCs w:val="22"/>
        </w:rPr>
        <w:t xml:space="preserve">necessities </w:t>
      </w:r>
      <w:r>
        <w:rPr>
          <w:rFonts w:ascii="Calibri" w:hAnsi="Calibri" w:cs="Calibri"/>
          <w:noProof/>
          <w:color w:val="404040" w:themeColor="text1" w:themeTint="BF"/>
          <w:sz w:val="22"/>
          <w:szCs w:val="22"/>
        </w:rPr>
        <w:t>such as</w:t>
      </w:r>
      <w:r w:rsidRPr="003F33C2">
        <w:rPr>
          <w:rFonts w:ascii="Calibri" w:hAnsi="Calibri" w:cs="Calibri"/>
          <w:noProof/>
          <w:color w:val="404040" w:themeColor="text1" w:themeTint="BF"/>
          <w:sz w:val="22"/>
          <w:szCs w:val="22"/>
        </w:rPr>
        <w:t xml:space="preserve"> food, shelter and clothing; adjusted for family and community size. </w:t>
      </w:r>
    </w:p>
    <w:p w14:paraId="729D39F5" w14:textId="77777777" w:rsidR="005013A3" w:rsidRDefault="005013A3" w:rsidP="005013A3">
      <w:pPr>
        <w:pStyle w:val="ListParagraph"/>
        <w:widowControl w:val="0"/>
        <w:numPr>
          <w:ilvl w:val="0"/>
          <w:numId w:val="8"/>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The most historically understood ‘proxy’ of income poverty and widely known</w:t>
      </w:r>
    </w:p>
    <w:p w14:paraId="14C56671" w14:textId="77777777" w:rsidR="005013A3" w:rsidRDefault="005013A3" w:rsidP="005013A3">
      <w:pPr>
        <w:pStyle w:val="ListParagraph"/>
        <w:widowControl w:val="0"/>
        <w:numPr>
          <w:ilvl w:val="0"/>
          <w:numId w:val="8"/>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Data is broken down by geographic (including neighbourhood-level) and demographic groups</w:t>
      </w:r>
    </w:p>
    <w:p w14:paraId="73F7A908" w14:textId="77777777" w:rsidR="005013A3" w:rsidRPr="00DD61E0" w:rsidRDefault="005013A3" w:rsidP="005013A3">
      <w:pPr>
        <w:pStyle w:val="ListParagraph"/>
        <w:widowControl w:val="0"/>
        <w:numPr>
          <w:ilvl w:val="0"/>
          <w:numId w:val="8"/>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Limitations: O</w:t>
      </w:r>
      <w:r w:rsidRPr="00DD61E0">
        <w:rPr>
          <w:rFonts w:ascii="Calibri" w:hAnsi="Calibri" w:cs="Calibri"/>
          <w:noProof/>
          <w:color w:val="404040" w:themeColor="text1" w:themeTint="BF"/>
          <w:sz w:val="22"/>
          <w:szCs w:val="22"/>
        </w:rPr>
        <w:t xml:space="preserve">nly tracks income and </w:t>
      </w:r>
      <w:r>
        <w:rPr>
          <w:rFonts w:ascii="Calibri" w:hAnsi="Calibri" w:cs="Calibri"/>
          <w:noProof/>
          <w:color w:val="404040" w:themeColor="text1" w:themeTint="BF"/>
          <w:sz w:val="22"/>
          <w:szCs w:val="22"/>
        </w:rPr>
        <w:t>updated every five years with an 18-month publication delay based on census data.</w:t>
      </w:r>
    </w:p>
    <w:p w14:paraId="7F1C89A5"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04D974F5" w14:textId="77777777" w:rsidR="005013A3" w:rsidRDefault="005013A3" w:rsidP="005013A3">
      <w:pPr>
        <w:widowControl w:val="0"/>
        <w:autoSpaceDE w:val="0"/>
        <w:autoSpaceDN w:val="0"/>
        <w:adjustRightInd w:val="0"/>
        <w:ind w:left="360" w:right="184" w:hanging="360"/>
        <w:rPr>
          <w:rFonts w:ascii="Calibri" w:hAnsi="Calibri" w:cs="Calibri"/>
          <w:noProof/>
          <w:color w:val="404040" w:themeColor="text1" w:themeTint="BF"/>
          <w:sz w:val="22"/>
          <w:szCs w:val="22"/>
        </w:rPr>
      </w:pPr>
      <w:hyperlink r:id="rId14" w:history="1">
        <w:r w:rsidRPr="008B3343">
          <w:rPr>
            <w:rStyle w:val="Hyperlink"/>
            <w:rFonts w:ascii="Calibri" w:eastAsiaTheme="minorEastAsia" w:hAnsi="Calibri" w:cs="Calibri"/>
            <w:noProof/>
          </w:rPr>
          <w:t>Read more about LICO</w:t>
        </w:r>
      </w:hyperlink>
    </w:p>
    <w:p w14:paraId="256891C7" w14:textId="77777777" w:rsidR="005013A3" w:rsidRDefault="005013A3" w:rsidP="005013A3">
      <w:pPr>
        <w:rPr>
          <w:rFonts w:ascii="Calibri" w:hAnsi="Calibri" w:cs="Calibri"/>
          <w:b/>
          <w:noProof/>
          <w:color w:val="404040" w:themeColor="text1" w:themeTint="BF"/>
          <w:sz w:val="22"/>
          <w:szCs w:val="22"/>
        </w:rPr>
      </w:pPr>
    </w:p>
    <w:p w14:paraId="37AD50AA" w14:textId="77777777" w:rsidR="005013A3"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t>Population-Level Frameworks – Multidimensional</w:t>
      </w:r>
    </w:p>
    <w:p w14:paraId="0EFC6DA4" w14:textId="77777777" w:rsidR="005013A3" w:rsidRPr="008919B1"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r w:rsidRPr="00FE1D77">
        <w:rPr>
          <w:rFonts w:ascii="Calibri" w:hAnsi="Calibri" w:cs="Calibri"/>
          <w:noProof/>
          <w:color w:val="404040" w:themeColor="text1" w:themeTint="BF"/>
          <w:sz w:val="22"/>
          <w:szCs w:val="22"/>
        </w:rPr>
        <w:drawing>
          <wp:anchor distT="0" distB="0" distL="114300" distR="114300" simplePos="0" relativeHeight="251661312" behindDoc="0" locked="0" layoutInCell="1" allowOverlap="1" wp14:anchorId="6A13C236" wp14:editId="130E7A25">
            <wp:simplePos x="0" y="0"/>
            <wp:positionH relativeFrom="column">
              <wp:posOffset>2882265</wp:posOffset>
            </wp:positionH>
            <wp:positionV relativeFrom="paragraph">
              <wp:posOffset>96520</wp:posOffset>
            </wp:positionV>
            <wp:extent cx="2921000" cy="2921000"/>
            <wp:effectExtent l="0" t="0" r="0" b="0"/>
            <wp:wrapSquare wrapText="bothSides"/>
            <wp:docPr id="1026" name="Picture 2" descr="Related image">
              <a:extLst xmlns:a="http://schemas.openxmlformats.org/drawingml/2006/main">
                <a:ext uri="{FF2B5EF4-FFF2-40B4-BE49-F238E27FC236}">
                  <a16:creationId xmlns:a16="http://schemas.microsoft.com/office/drawing/2014/main" id="{9821B223-28C8-47E1-AB4F-3DB95ECB28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lated image">
                      <a:extLst>
                        <a:ext uri="{FF2B5EF4-FFF2-40B4-BE49-F238E27FC236}">
                          <a16:creationId xmlns:a16="http://schemas.microsoft.com/office/drawing/2014/main" id="{9821B223-28C8-47E1-AB4F-3DB95ECB283D}"/>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4823" r="7406" b="9"/>
                    <a:stretch/>
                  </pic:blipFill>
                  <pic:spPr bwMode="auto">
                    <a:xfrm>
                      <a:off x="0" y="0"/>
                      <a:ext cx="2921000" cy="2921000"/>
                    </a:xfrm>
                    <a:prstGeom prst="rect">
                      <a:avLst/>
                    </a:prstGeom>
                    <a:noFill/>
                  </pic:spPr>
                </pic:pic>
              </a:graphicData>
            </a:graphic>
            <wp14:sizeRelH relativeFrom="page">
              <wp14:pctWidth>0</wp14:pctWidth>
            </wp14:sizeRelH>
            <wp14:sizeRelV relativeFrom="page">
              <wp14:pctHeight>0</wp14:pctHeight>
            </wp14:sizeRelV>
          </wp:anchor>
        </w:drawing>
      </w:r>
    </w:p>
    <w:p w14:paraId="0506E4EE" w14:textId="77777777" w:rsidR="005013A3" w:rsidRPr="00005EC1"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sidRPr="00005EC1">
        <w:rPr>
          <w:rFonts w:ascii="Calibri" w:hAnsi="Calibri" w:cs="Calibri"/>
          <w:b/>
          <w:noProof/>
          <w:color w:val="404040" w:themeColor="text1" w:themeTint="BF"/>
          <w:sz w:val="22"/>
          <w:szCs w:val="22"/>
        </w:rPr>
        <w:t>Deprivation Indexes</w:t>
      </w:r>
    </w:p>
    <w:p w14:paraId="74892259" w14:textId="77777777" w:rsidR="005013A3" w:rsidRDefault="005013A3" w:rsidP="005013A3">
      <w:pPr>
        <w:pStyle w:val="ListParagraph"/>
        <w:widowControl w:val="0"/>
        <w:numPr>
          <w:ilvl w:val="0"/>
          <w:numId w:val="9"/>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T</w:t>
      </w:r>
      <w:r w:rsidRPr="00DD61E0">
        <w:rPr>
          <w:rFonts w:ascii="Calibri" w:hAnsi="Calibri" w:cs="Calibri"/>
          <w:noProof/>
          <w:color w:val="404040" w:themeColor="text1" w:themeTint="BF"/>
          <w:sz w:val="22"/>
          <w:szCs w:val="22"/>
        </w:rPr>
        <w:t>rack</w:t>
      </w:r>
      <w:r>
        <w:rPr>
          <w:rFonts w:ascii="Calibri" w:hAnsi="Calibri" w:cs="Calibri"/>
          <w:noProof/>
          <w:color w:val="404040" w:themeColor="text1" w:themeTint="BF"/>
          <w:sz w:val="22"/>
          <w:szCs w:val="22"/>
        </w:rPr>
        <w:t>s</w:t>
      </w:r>
      <w:r w:rsidRPr="00DD61E0">
        <w:rPr>
          <w:rFonts w:ascii="Calibri" w:hAnsi="Calibri" w:cs="Calibri"/>
          <w:noProof/>
          <w:color w:val="404040" w:themeColor="text1" w:themeTint="BF"/>
          <w:sz w:val="22"/>
          <w:szCs w:val="22"/>
        </w:rPr>
        <w:t xml:space="preserve"> and rank</w:t>
      </w:r>
      <w:r>
        <w:rPr>
          <w:rFonts w:ascii="Calibri" w:hAnsi="Calibri" w:cs="Calibri"/>
          <w:noProof/>
          <w:color w:val="404040" w:themeColor="text1" w:themeTint="BF"/>
          <w:sz w:val="22"/>
          <w:szCs w:val="22"/>
        </w:rPr>
        <w:t>s</w:t>
      </w:r>
      <w:r w:rsidRPr="00DD61E0">
        <w:rPr>
          <w:rFonts w:ascii="Calibri" w:hAnsi="Calibri" w:cs="Calibri"/>
          <w:noProof/>
          <w:color w:val="404040" w:themeColor="text1" w:themeTint="BF"/>
          <w:sz w:val="22"/>
          <w:szCs w:val="22"/>
        </w:rPr>
        <w:t xml:space="preserve"> material and social deprivation in Canadian cities</w:t>
      </w:r>
      <w:r>
        <w:rPr>
          <w:rFonts w:ascii="Calibri" w:hAnsi="Calibri" w:cs="Calibri"/>
          <w:noProof/>
          <w:color w:val="404040" w:themeColor="text1" w:themeTint="BF"/>
          <w:sz w:val="22"/>
          <w:szCs w:val="22"/>
        </w:rPr>
        <w:t xml:space="preserve"> employing a multi-dimensional understanding of wellbeing.</w:t>
      </w:r>
    </w:p>
    <w:p w14:paraId="4BF7B0C2" w14:textId="77777777" w:rsidR="005013A3" w:rsidRDefault="005013A3" w:rsidP="005013A3">
      <w:pPr>
        <w:pStyle w:val="ListParagraph"/>
        <w:widowControl w:val="0"/>
        <w:numPr>
          <w:ilvl w:val="0"/>
          <w:numId w:val="9"/>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Data at four</w:t>
      </w:r>
      <w:r w:rsidRPr="00DD61E0">
        <w:rPr>
          <w:rFonts w:ascii="Calibri" w:hAnsi="Calibri" w:cs="Calibri"/>
          <w:noProof/>
          <w:color w:val="404040" w:themeColor="text1" w:themeTint="BF"/>
          <w:sz w:val="22"/>
          <w:szCs w:val="22"/>
        </w:rPr>
        <w:t xml:space="preserve"> levels: </w:t>
      </w:r>
      <w:r>
        <w:rPr>
          <w:rFonts w:ascii="Calibri" w:hAnsi="Calibri" w:cs="Calibri"/>
          <w:noProof/>
          <w:color w:val="404040" w:themeColor="text1" w:themeTint="BF"/>
          <w:sz w:val="22"/>
          <w:szCs w:val="22"/>
        </w:rPr>
        <w:t>N</w:t>
      </w:r>
      <w:r w:rsidRPr="00DD61E0">
        <w:rPr>
          <w:rFonts w:ascii="Calibri" w:hAnsi="Calibri" w:cs="Calibri"/>
          <w:noProof/>
          <w:color w:val="404040" w:themeColor="text1" w:themeTint="BF"/>
          <w:sz w:val="22"/>
          <w:szCs w:val="22"/>
        </w:rPr>
        <w:t>ational, regional, Census Metropolitan Area (CMA), and geographic zone (major cities, medium cities, census agglomerations and small towns &amp; rural regions).</w:t>
      </w:r>
    </w:p>
    <w:p w14:paraId="7844E933" w14:textId="77777777" w:rsidR="005013A3" w:rsidRDefault="005013A3" w:rsidP="005013A3">
      <w:pPr>
        <w:pStyle w:val="ListParagraph"/>
        <w:widowControl w:val="0"/>
        <w:numPr>
          <w:ilvl w:val="0"/>
          <w:numId w:val="9"/>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Compiled by professional researchers, has </w:t>
      </w:r>
      <w:r w:rsidRPr="00DD61E0">
        <w:rPr>
          <w:rFonts w:ascii="Calibri" w:hAnsi="Calibri" w:cs="Calibri"/>
          <w:noProof/>
          <w:color w:val="404040" w:themeColor="text1" w:themeTint="BF"/>
          <w:sz w:val="22"/>
          <w:szCs w:val="22"/>
        </w:rPr>
        <w:t>high credibility and reliability</w:t>
      </w:r>
      <w:r>
        <w:rPr>
          <w:rFonts w:ascii="Calibri" w:hAnsi="Calibri" w:cs="Calibri"/>
          <w:noProof/>
          <w:color w:val="404040" w:themeColor="text1" w:themeTint="BF"/>
          <w:sz w:val="22"/>
          <w:szCs w:val="22"/>
        </w:rPr>
        <w:t>.</w:t>
      </w:r>
    </w:p>
    <w:p w14:paraId="06B34ADB" w14:textId="77777777" w:rsidR="005013A3" w:rsidRDefault="005013A3" w:rsidP="005013A3">
      <w:pPr>
        <w:pStyle w:val="ListParagraph"/>
        <w:widowControl w:val="0"/>
        <w:numPr>
          <w:ilvl w:val="0"/>
          <w:numId w:val="9"/>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D</w:t>
      </w:r>
      <w:r w:rsidRPr="00DD61E0">
        <w:rPr>
          <w:rFonts w:ascii="Calibri" w:hAnsi="Calibri" w:cs="Calibri"/>
          <w:noProof/>
          <w:color w:val="404040" w:themeColor="text1" w:themeTint="BF"/>
          <w:sz w:val="22"/>
          <w:szCs w:val="22"/>
        </w:rPr>
        <w:t>ata is free</w:t>
      </w:r>
      <w:r>
        <w:rPr>
          <w:rFonts w:ascii="Calibri" w:hAnsi="Calibri" w:cs="Calibri"/>
          <w:noProof/>
          <w:color w:val="404040" w:themeColor="text1" w:themeTint="BF"/>
          <w:sz w:val="22"/>
          <w:szCs w:val="22"/>
        </w:rPr>
        <w:t>.</w:t>
      </w:r>
    </w:p>
    <w:p w14:paraId="274B7AD1" w14:textId="77777777" w:rsidR="005013A3" w:rsidRPr="00DD61E0" w:rsidRDefault="005013A3" w:rsidP="005013A3">
      <w:pPr>
        <w:pStyle w:val="ListParagraph"/>
        <w:widowControl w:val="0"/>
        <w:numPr>
          <w:ilvl w:val="0"/>
          <w:numId w:val="9"/>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Limitations: Updated every five years with an 18-month publication delay based on census data; </w:t>
      </w:r>
      <w:r w:rsidRPr="00DD61E0">
        <w:rPr>
          <w:rFonts w:ascii="Calibri" w:hAnsi="Calibri" w:cs="Calibri"/>
          <w:noProof/>
          <w:color w:val="404040" w:themeColor="text1" w:themeTint="BF"/>
          <w:sz w:val="22"/>
          <w:szCs w:val="22"/>
        </w:rPr>
        <w:t>focuses on ‘deprivation’</w:t>
      </w:r>
      <w:r>
        <w:rPr>
          <w:rFonts w:ascii="Calibri" w:hAnsi="Calibri" w:cs="Calibri"/>
          <w:noProof/>
          <w:color w:val="404040" w:themeColor="text1" w:themeTint="BF"/>
          <w:sz w:val="22"/>
          <w:szCs w:val="22"/>
        </w:rPr>
        <w:t xml:space="preserve"> (deficit-based language)</w:t>
      </w:r>
    </w:p>
    <w:p w14:paraId="15B373CD"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206E4B14"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Read more about </w:t>
      </w:r>
      <w:hyperlink r:id="rId16" w:history="1">
        <w:r w:rsidRPr="00FE1D77">
          <w:rPr>
            <w:rStyle w:val="Hyperlink"/>
            <w:rFonts w:ascii="Calibri" w:eastAsiaTheme="minorEastAsia" w:hAnsi="Calibri" w:cs="Calibri"/>
            <w:noProof/>
          </w:rPr>
          <w:t>deprivation indexes</w:t>
        </w:r>
      </w:hyperlink>
      <w:r>
        <w:rPr>
          <w:rFonts w:ascii="Calibri" w:hAnsi="Calibri" w:cs="Calibri"/>
          <w:noProof/>
          <w:color w:val="404040" w:themeColor="text1" w:themeTint="BF"/>
          <w:sz w:val="22"/>
          <w:szCs w:val="22"/>
        </w:rPr>
        <w:t>.</w:t>
      </w:r>
    </w:p>
    <w:p w14:paraId="4242FC4E"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1ED62576" w14:textId="77777777" w:rsidR="005013A3" w:rsidRDefault="005013A3" w:rsidP="005013A3">
      <w:pPr>
        <w:widowControl w:val="0"/>
        <w:autoSpaceDE w:val="0"/>
        <w:autoSpaceDN w:val="0"/>
        <w:adjustRightInd w:val="0"/>
        <w:ind w:right="184"/>
        <w:jc w:val="center"/>
        <w:rPr>
          <w:rFonts w:ascii="Calibri" w:hAnsi="Calibri" w:cs="Calibri"/>
          <w:noProof/>
          <w:color w:val="404040" w:themeColor="text1" w:themeTint="BF"/>
          <w:sz w:val="22"/>
          <w:szCs w:val="22"/>
        </w:rPr>
      </w:pPr>
    </w:p>
    <w:p w14:paraId="1867F3A4" w14:textId="77777777" w:rsidR="005013A3" w:rsidRPr="00FE1D77"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66FA90E6" w14:textId="77777777" w:rsidR="005013A3" w:rsidRDefault="005013A3" w:rsidP="005013A3">
      <w:r>
        <w:rPr>
          <w:noProof/>
        </w:rPr>
        <w:drawing>
          <wp:anchor distT="0" distB="0" distL="114300" distR="114300" simplePos="0" relativeHeight="251665408" behindDoc="0" locked="0" layoutInCell="1" allowOverlap="1" wp14:anchorId="2D709FD4" wp14:editId="54B05F4E">
            <wp:simplePos x="0" y="0"/>
            <wp:positionH relativeFrom="column">
              <wp:posOffset>2883535</wp:posOffset>
            </wp:positionH>
            <wp:positionV relativeFrom="paragraph">
              <wp:posOffset>130748</wp:posOffset>
            </wp:positionV>
            <wp:extent cx="2921000" cy="1923415"/>
            <wp:effectExtent l="0" t="0" r="0" b="0"/>
            <wp:wrapSquare wrapText="bothSides"/>
            <wp:docPr id="29" name="Picture 29" descr="Applying a health inequalities perspective (Chapter 4) - Health  Inequalities and People with Intellectual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ying a health inequalities perspective (Chapter 4) - Health  Inequalities and People with Intellectual Disabiliti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100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"https://prenataltopostsecondary.files.wordpress.com/2014/12/social-determinants-of-health.jpg?w=300&amp;h=219" \* MERGEFORMATINET </w:instrText>
      </w:r>
      <w:r>
        <w:fldChar w:fldCharType="end"/>
      </w:r>
    </w:p>
    <w:p w14:paraId="3595BBD8" w14:textId="77777777" w:rsidR="005013A3" w:rsidRPr="00342294"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sidRPr="00005EC1">
        <w:rPr>
          <w:rFonts w:ascii="Calibri" w:hAnsi="Calibri" w:cs="Calibri"/>
          <w:b/>
          <w:noProof/>
          <w:color w:val="404040" w:themeColor="text1" w:themeTint="BF"/>
          <w:sz w:val="22"/>
          <w:szCs w:val="22"/>
        </w:rPr>
        <w:t>Social Determinants of Health</w:t>
      </w:r>
      <w:r>
        <w:fldChar w:fldCharType="begin"/>
      </w:r>
      <w:r>
        <w:instrText xml:space="preserve"> INCLUDEPICTURE "C:\\var\\folders\\v_\\6n1bt0kx62z_c5rc0_xfybwm0000gn\\T\\com.microsoft.Word\\WebArchiveCopyPasteTempFiles\\urncambridge.orgidbinary4902920160511052904179-052713314fig4_1.png?pub-status=live" \* MERGEFORMAT </w:instrText>
      </w:r>
      <w:r>
        <w:fldChar w:fldCharType="end"/>
      </w:r>
    </w:p>
    <w:p w14:paraId="4C5423B6" w14:textId="77777777" w:rsidR="005013A3" w:rsidRDefault="005013A3" w:rsidP="005013A3">
      <w:pPr>
        <w:pStyle w:val="ListParagraph"/>
        <w:widowControl w:val="0"/>
        <w:numPr>
          <w:ilvl w:val="0"/>
          <w:numId w:val="10"/>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12 social and physical conditions in which people live are root causes of and measures of health and wellbeing. </w:t>
      </w:r>
    </w:p>
    <w:p w14:paraId="52EAD994" w14:textId="77777777" w:rsidR="005013A3" w:rsidRDefault="005013A3" w:rsidP="005013A3">
      <w:pPr>
        <w:pStyle w:val="ListParagraph"/>
        <w:widowControl w:val="0"/>
        <w:numPr>
          <w:ilvl w:val="0"/>
          <w:numId w:val="10"/>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U</w:t>
      </w:r>
      <w:r w:rsidRPr="00DD61E0">
        <w:rPr>
          <w:rFonts w:ascii="Calibri" w:hAnsi="Calibri" w:cs="Calibri"/>
          <w:noProof/>
          <w:color w:val="404040" w:themeColor="text1" w:themeTint="BF"/>
          <w:sz w:val="22"/>
          <w:szCs w:val="22"/>
        </w:rPr>
        <w:t xml:space="preserve">sed extensively by Health Canada and many provincial agencies. </w:t>
      </w:r>
    </w:p>
    <w:p w14:paraId="16A9E227" w14:textId="77777777" w:rsidR="005013A3" w:rsidRDefault="005013A3" w:rsidP="005013A3">
      <w:pPr>
        <w:pStyle w:val="ListParagraph"/>
        <w:widowControl w:val="0"/>
        <w:numPr>
          <w:ilvl w:val="0"/>
          <w:numId w:val="10"/>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R</w:t>
      </w:r>
      <w:r w:rsidRPr="00DD61E0">
        <w:rPr>
          <w:rFonts w:ascii="Calibri" w:hAnsi="Calibri" w:cs="Calibri"/>
          <w:noProof/>
          <w:color w:val="404040" w:themeColor="text1" w:themeTint="BF"/>
          <w:sz w:val="22"/>
          <w:szCs w:val="22"/>
        </w:rPr>
        <w:t>elatively well-known</w:t>
      </w:r>
      <w:r>
        <w:rPr>
          <w:rFonts w:ascii="Calibri" w:hAnsi="Calibri" w:cs="Calibri"/>
          <w:noProof/>
          <w:color w:val="404040" w:themeColor="text1" w:themeTint="BF"/>
          <w:sz w:val="22"/>
          <w:szCs w:val="22"/>
        </w:rPr>
        <w:t>.</w:t>
      </w:r>
      <w:r w:rsidRPr="00DD61E0">
        <w:rPr>
          <w:rFonts w:ascii="Calibri" w:hAnsi="Calibri" w:cs="Calibri"/>
          <w:noProof/>
          <w:color w:val="404040" w:themeColor="text1" w:themeTint="BF"/>
          <w:sz w:val="22"/>
          <w:szCs w:val="22"/>
        </w:rPr>
        <w:t xml:space="preserve"> </w:t>
      </w:r>
    </w:p>
    <w:p w14:paraId="0E55AE6A" w14:textId="77777777" w:rsidR="005013A3" w:rsidRPr="00DD61E0" w:rsidRDefault="005013A3" w:rsidP="005013A3">
      <w:pPr>
        <w:pStyle w:val="ListParagraph"/>
        <w:widowControl w:val="0"/>
        <w:numPr>
          <w:ilvl w:val="0"/>
          <w:numId w:val="10"/>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w:t>
      </w:r>
      <w:r w:rsidRPr="00DD61E0">
        <w:rPr>
          <w:rFonts w:ascii="Calibri" w:hAnsi="Calibri" w:cs="Calibri"/>
          <w:noProof/>
          <w:color w:val="404040" w:themeColor="text1" w:themeTint="BF"/>
          <w:sz w:val="22"/>
          <w:szCs w:val="22"/>
        </w:rPr>
        <w:t>imitations</w:t>
      </w:r>
      <w:r>
        <w:rPr>
          <w:rFonts w:ascii="Calibri" w:hAnsi="Calibri" w:cs="Calibri"/>
          <w:noProof/>
          <w:color w:val="404040" w:themeColor="text1" w:themeTint="BF"/>
          <w:sz w:val="22"/>
          <w:szCs w:val="22"/>
        </w:rPr>
        <w:t>: Not considered a</w:t>
      </w:r>
      <w:r w:rsidRPr="00DD61E0">
        <w:rPr>
          <w:rFonts w:ascii="Calibri" w:hAnsi="Calibri" w:cs="Calibri"/>
          <w:noProof/>
          <w:color w:val="404040" w:themeColor="text1" w:themeTint="BF"/>
          <w:sz w:val="22"/>
          <w:szCs w:val="22"/>
        </w:rPr>
        <w:t xml:space="preserve"> </w:t>
      </w:r>
      <w:r w:rsidRPr="00DD61E0">
        <w:rPr>
          <w:rFonts w:ascii="Calibri" w:hAnsi="Calibri" w:cs="Calibri"/>
          <w:i/>
          <w:noProof/>
          <w:color w:val="404040" w:themeColor="text1" w:themeTint="BF"/>
          <w:sz w:val="22"/>
          <w:szCs w:val="22"/>
        </w:rPr>
        <w:t>poverty</w:t>
      </w:r>
      <w:r w:rsidRPr="00DD61E0">
        <w:rPr>
          <w:rFonts w:ascii="Calibri" w:hAnsi="Calibri" w:cs="Calibri"/>
          <w:noProof/>
          <w:color w:val="404040" w:themeColor="text1" w:themeTint="BF"/>
          <w:sz w:val="22"/>
          <w:szCs w:val="22"/>
        </w:rPr>
        <w:t xml:space="preserve"> framework by </w:t>
      </w:r>
      <w:r>
        <w:rPr>
          <w:rFonts w:ascii="Calibri" w:hAnsi="Calibri" w:cs="Calibri"/>
          <w:noProof/>
          <w:color w:val="404040" w:themeColor="text1" w:themeTint="BF"/>
          <w:sz w:val="22"/>
          <w:szCs w:val="22"/>
        </w:rPr>
        <w:t>all;</w:t>
      </w:r>
      <w:r w:rsidRPr="00DD61E0">
        <w:rPr>
          <w:rFonts w:ascii="Calibri" w:hAnsi="Calibri" w:cs="Calibri"/>
          <w:noProof/>
          <w:color w:val="404040" w:themeColor="text1" w:themeTint="BF"/>
          <w:sz w:val="22"/>
          <w:szCs w:val="22"/>
        </w:rPr>
        <w:t xml:space="preserve"> provides guidance on strategies but not measurements and therefore has little evaluation consistency across communities</w:t>
      </w:r>
      <w:r>
        <w:rPr>
          <w:rFonts w:ascii="Calibri" w:hAnsi="Calibri" w:cs="Calibri"/>
          <w:noProof/>
          <w:color w:val="404040" w:themeColor="text1" w:themeTint="BF"/>
          <w:sz w:val="22"/>
          <w:szCs w:val="22"/>
        </w:rPr>
        <w:t xml:space="preserve">; </w:t>
      </w:r>
      <w:r w:rsidRPr="00DD61E0">
        <w:rPr>
          <w:rFonts w:ascii="Calibri" w:hAnsi="Calibri" w:cs="Calibri"/>
          <w:noProof/>
          <w:color w:val="404040" w:themeColor="text1" w:themeTint="BF"/>
          <w:sz w:val="22"/>
          <w:szCs w:val="22"/>
        </w:rPr>
        <w:t>requires extensive data collection.</w:t>
      </w:r>
    </w:p>
    <w:p w14:paraId="0810CD7C"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07A7D1A3"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hyperlink r:id="rId18" w:history="1">
        <w:r w:rsidRPr="009C562D">
          <w:rPr>
            <w:rStyle w:val="Hyperlink"/>
            <w:rFonts w:ascii="Calibri" w:eastAsiaTheme="minorEastAsia" w:hAnsi="Calibri" w:cs="Calibri"/>
            <w:noProof/>
          </w:rPr>
          <w:t>Read more about the Social Determinants of Healt</w:t>
        </w:r>
        <w:r>
          <w:rPr>
            <w:rStyle w:val="Hyperlink"/>
            <w:rFonts w:ascii="Calibri" w:eastAsiaTheme="minorEastAsia" w:hAnsi="Calibri" w:cs="Calibri"/>
            <w:noProof/>
          </w:rPr>
          <w:t>h here</w:t>
        </w:r>
      </w:hyperlink>
      <w:r>
        <w:rPr>
          <w:rFonts w:ascii="Calibri" w:hAnsi="Calibri" w:cs="Calibri"/>
          <w:noProof/>
          <w:color w:val="404040" w:themeColor="text1" w:themeTint="BF"/>
          <w:sz w:val="22"/>
          <w:szCs w:val="22"/>
        </w:rPr>
        <w:t xml:space="preserve"> and </w:t>
      </w:r>
      <w:hyperlink r:id="rId19" w:history="1">
        <w:r w:rsidRPr="002A5613">
          <w:rPr>
            <w:rStyle w:val="Hyperlink"/>
            <w:rFonts w:ascii="Calibri" w:eastAsiaTheme="minorEastAsia" w:hAnsi="Calibri" w:cs="Calibri"/>
            <w:noProof/>
          </w:rPr>
          <w:t>here</w:t>
        </w:r>
      </w:hyperlink>
    </w:p>
    <w:p w14:paraId="4C22078C"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50885B94" w14:textId="77777777" w:rsidR="005013A3" w:rsidRDefault="005013A3" w:rsidP="005013A3">
      <w:pPr>
        <w:widowControl w:val="0"/>
        <w:autoSpaceDE w:val="0"/>
        <w:autoSpaceDN w:val="0"/>
        <w:adjustRightInd w:val="0"/>
        <w:ind w:right="184"/>
        <w:jc w:val="center"/>
        <w:rPr>
          <w:rFonts w:ascii="Calibri" w:hAnsi="Calibri" w:cs="Calibri"/>
          <w:noProof/>
          <w:color w:val="404040" w:themeColor="text1" w:themeTint="BF"/>
          <w:sz w:val="22"/>
          <w:szCs w:val="22"/>
        </w:rPr>
      </w:pPr>
    </w:p>
    <w:p w14:paraId="1A2E0ED1" w14:textId="77777777" w:rsidR="005013A3" w:rsidRPr="009C562D"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3FB176D" w14:textId="77777777" w:rsidR="005013A3" w:rsidRPr="004A3E29"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Pr>
          <w:noProof/>
        </w:rPr>
        <w:lastRenderedPageBreak/>
        <w:drawing>
          <wp:anchor distT="0" distB="0" distL="114300" distR="114300" simplePos="0" relativeHeight="251662336" behindDoc="0" locked="0" layoutInCell="1" allowOverlap="1" wp14:anchorId="0D4524A2" wp14:editId="309B008B">
            <wp:simplePos x="0" y="0"/>
            <wp:positionH relativeFrom="column">
              <wp:posOffset>3136314</wp:posOffset>
            </wp:positionH>
            <wp:positionV relativeFrom="paragraph">
              <wp:posOffset>12937</wp:posOffset>
            </wp:positionV>
            <wp:extent cx="2825115" cy="2284095"/>
            <wp:effectExtent l="12700" t="12700" r="6985" b="14605"/>
            <wp:wrapSquare wrapText="bothSides"/>
            <wp:docPr id="41" name="Picture 41" descr="/var/folders/v_/6n1bt0kx62z_c5rc0_xfybwm0000gn/T/com.microsoft.Word/WebArchiveCopyPasteTempFiles/CIW-Domains-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_/6n1bt0kx62z_c5rc0_xfybwm0000gn/T/com.microsoft.Word/WebArchiveCopyPasteTempFiles/CIW-Domains-Icon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5115" cy="22840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4A3E29">
        <w:rPr>
          <w:rFonts w:ascii="Calibri" w:hAnsi="Calibri" w:cs="Calibri"/>
          <w:b/>
          <w:noProof/>
          <w:color w:val="404040" w:themeColor="text1" w:themeTint="BF"/>
          <w:sz w:val="22"/>
          <w:szCs w:val="22"/>
        </w:rPr>
        <w:t>Canadian Index of Wellbeing</w:t>
      </w:r>
    </w:p>
    <w:p w14:paraId="02BEB6F3" w14:textId="77777777" w:rsidR="005013A3" w:rsidRDefault="005013A3" w:rsidP="005013A3">
      <w:pPr>
        <w:pStyle w:val="ListParagraph"/>
        <w:widowControl w:val="0"/>
        <w:numPr>
          <w:ilvl w:val="0"/>
          <w:numId w:val="11"/>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Uses a multidimensional framework to evaluate overall quality of life in Canada. </w:t>
      </w:r>
    </w:p>
    <w:p w14:paraId="697D2F9D" w14:textId="77777777" w:rsidR="005013A3" w:rsidRDefault="005013A3" w:rsidP="005013A3">
      <w:pPr>
        <w:pStyle w:val="ListParagraph"/>
        <w:widowControl w:val="0"/>
        <w:numPr>
          <w:ilvl w:val="0"/>
          <w:numId w:val="11"/>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Tracks 64 community-level indicators under eight domains (</w:t>
      </w:r>
      <w:r w:rsidRPr="00342294">
        <w:rPr>
          <w:rFonts w:ascii="Calibri" w:hAnsi="Calibri" w:cs="Calibri"/>
          <w:noProof/>
          <w:color w:val="404040" w:themeColor="text1" w:themeTint="BF"/>
          <w:sz w:val="22"/>
          <w:szCs w:val="22"/>
        </w:rPr>
        <w:t>leisure and culture, environment, democratic engagement, health, education,</w:t>
      </w:r>
      <w:r>
        <w:rPr>
          <w:rFonts w:ascii="Calibri" w:hAnsi="Calibri" w:cs="Calibri"/>
          <w:noProof/>
          <w:color w:val="404040" w:themeColor="text1" w:themeTint="BF"/>
          <w:sz w:val="22"/>
          <w:szCs w:val="22"/>
        </w:rPr>
        <w:t xml:space="preserve"> time use, vitality, and living standards</w:t>
      </w:r>
      <w:r w:rsidRPr="00342294">
        <w:rPr>
          <w:rFonts w:ascii="Calibri" w:hAnsi="Calibri" w:cs="Calibri"/>
          <w:noProof/>
          <w:color w:val="404040" w:themeColor="text1" w:themeTint="BF"/>
          <w:sz w:val="22"/>
          <w:szCs w:val="22"/>
        </w:rPr>
        <w:t xml:space="preserve">). </w:t>
      </w:r>
    </w:p>
    <w:p w14:paraId="029881BE" w14:textId="77777777" w:rsidR="005013A3" w:rsidRDefault="005013A3" w:rsidP="005013A3">
      <w:pPr>
        <w:pStyle w:val="ListParagraph"/>
        <w:widowControl w:val="0"/>
        <w:numPr>
          <w:ilvl w:val="0"/>
          <w:numId w:val="11"/>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Compiled by researchers, data is the most credible </w:t>
      </w:r>
      <w:r w:rsidRPr="00342294">
        <w:rPr>
          <w:rFonts w:ascii="Calibri" w:hAnsi="Calibri" w:cs="Calibri"/>
          <w:noProof/>
          <w:color w:val="404040" w:themeColor="text1" w:themeTint="BF"/>
          <w:sz w:val="22"/>
          <w:szCs w:val="22"/>
        </w:rPr>
        <w:t>and reliable</w:t>
      </w:r>
      <w:r>
        <w:rPr>
          <w:rFonts w:ascii="Calibri" w:hAnsi="Calibri" w:cs="Calibri"/>
          <w:noProof/>
          <w:color w:val="404040" w:themeColor="text1" w:themeTint="BF"/>
          <w:sz w:val="22"/>
          <w:szCs w:val="22"/>
        </w:rPr>
        <w:t xml:space="preserve"> multidimensional framework at the community-level</w:t>
      </w:r>
      <w:r w:rsidRPr="00342294">
        <w:rPr>
          <w:rFonts w:ascii="Calibri" w:hAnsi="Calibri" w:cs="Calibri"/>
          <w:noProof/>
          <w:color w:val="404040" w:themeColor="text1" w:themeTint="BF"/>
          <w:sz w:val="22"/>
          <w:szCs w:val="22"/>
        </w:rPr>
        <w:t xml:space="preserve">. </w:t>
      </w:r>
    </w:p>
    <w:p w14:paraId="2FB60920" w14:textId="77777777" w:rsidR="005013A3" w:rsidRDefault="005013A3" w:rsidP="005013A3">
      <w:pPr>
        <w:pStyle w:val="ListParagraph"/>
        <w:widowControl w:val="0"/>
        <w:numPr>
          <w:ilvl w:val="0"/>
          <w:numId w:val="11"/>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w:t>
      </w:r>
      <w:r w:rsidRPr="00342294">
        <w:rPr>
          <w:rFonts w:ascii="Calibri" w:hAnsi="Calibri" w:cs="Calibri"/>
          <w:noProof/>
          <w:color w:val="404040" w:themeColor="text1" w:themeTint="BF"/>
          <w:sz w:val="22"/>
          <w:szCs w:val="22"/>
        </w:rPr>
        <w:t>imitations</w:t>
      </w:r>
      <w:r>
        <w:rPr>
          <w:rFonts w:ascii="Calibri" w:hAnsi="Calibri" w:cs="Calibri"/>
          <w:noProof/>
          <w:color w:val="404040" w:themeColor="text1" w:themeTint="BF"/>
          <w:sz w:val="22"/>
          <w:szCs w:val="22"/>
        </w:rPr>
        <w:t xml:space="preserve">: Difficulty </w:t>
      </w:r>
      <w:r w:rsidRPr="00342294">
        <w:rPr>
          <w:rFonts w:ascii="Calibri" w:hAnsi="Calibri" w:cs="Calibri"/>
          <w:noProof/>
          <w:color w:val="404040" w:themeColor="text1" w:themeTint="BF"/>
          <w:sz w:val="22"/>
          <w:szCs w:val="22"/>
        </w:rPr>
        <w:t>benchmarking the information with other cities</w:t>
      </w:r>
      <w:r>
        <w:rPr>
          <w:rFonts w:ascii="Calibri" w:hAnsi="Calibri" w:cs="Calibri"/>
          <w:noProof/>
          <w:color w:val="404040" w:themeColor="text1" w:themeTint="BF"/>
          <w:sz w:val="22"/>
          <w:szCs w:val="22"/>
        </w:rPr>
        <w:t>; each analysis contracted through the University of Waterloo which can create accessibility issues.</w:t>
      </w:r>
    </w:p>
    <w:p w14:paraId="7588E5D1" w14:textId="77777777" w:rsidR="005013A3" w:rsidRPr="002A5613" w:rsidRDefault="005013A3" w:rsidP="005013A3">
      <w:pPr>
        <w:widowControl w:val="0"/>
        <w:autoSpaceDE w:val="0"/>
        <w:autoSpaceDN w:val="0"/>
        <w:adjustRightInd w:val="0"/>
        <w:ind w:right="184"/>
        <w:rPr>
          <w:rFonts w:ascii="Calibri" w:hAnsi="Calibri" w:cs="Calibri"/>
          <w:noProof/>
          <w:color w:val="404040" w:themeColor="text1" w:themeTint="BF"/>
          <w:sz w:val="22"/>
          <w:szCs w:val="22"/>
          <w:highlight w:val="yellow"/>
        </w:rPr>
      </w:pPr>
    </w:p>
    <w:p w14:paraId="1FE587ED"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hyperlink r:id="rId21" w:history="1">
        <w:r w:rsidRPr="00D538E1">
          <w:rPr>
            <w:rStyle w:val="Hyperlink"/>
            <w:rFonts w:ascii="Calibri" w:eastAsiaTheme="minorEastAsia" w:hAnsi="Calibri" w:cs="Calibri"/>
            <w:noProof/>
          </w:rPr>
          <w:t>Read more about the Canadian</w:t>
        </w:r>
      </w:hyperlink>
      <w:r w:rsidRPr="00D538E1">
        <w:rPr>
          <w:rStyle w:val="Hyperlink"/>
          <w:rFonts w:ascii="Calibri" w:eastAsiaTheme="minorEastAsia" w:hAnsi="Calibri" w:cs="Calibri"/>
          <w:noProof/>
        </w:rPr>
        <w:t xml:space="preserve"> Index of Wellbeing</w:t>
      </w:r>
      <w:r w:rsidRPr="00D538E1">
        <w:rPr>
          <w:rFonts w:ascii="Calibri" w:hAnsi="Calibri" w:cs="Calibri"/>
          <w:noProof/>
          <w:color w:val="404040" w:themeColor="text1" w:themeTint="BF"/>
          <w:sz w:val="22"/>
          <w:szCs w:val="22"/>
        </w:rPr>
        <w:t xml:space="preserve"> </w:t>
      </w:r>
    </w:p>
    <w:p w14:paraId="439C5275"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5F1437A8" w14:textId="77777777" w:rsidR="005013A3" w:rsidRPr="00BD6EF6" w:rsidRDefault="005013A3" w:rsidP="005013A3">
      <w:pPr>
        <w:jc w:val="center"/>
      </w:pPr>
      <w:r>
        <w:fldChar w:fldCharType="begin"/>
      </w:r>
      <w:r>
        <w:instrText xml:space="preserve"> INCLUDEPICTURE "C:\\var\\folders\\v_\\6n1bt0kx62z_c5rc0_xfybwm0000gn\\T\\com.microsoft.Word\\WebArchiveCopyPasteTempFiles\\CIW-Domains-Icons.jpg" \* MERGEFORMAT </w:instrText>
      </w:r>
      <w:r>
        <w:fldChar w:fldCharType="end"/>
      </w:r>
    </w:p>
    <w:p w14:paraId="25A80A1D" w14:textId="77777777" w:rsidR="005013A3"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p>
    <w:p w14:paraId="3A98CB75" w14:textId="77777777" w:rsidR="005013A3" w:rsidRPr="00D538E1"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r>
        <w:rPr>
          <w:rFonts w:ascii="Calibri" w:hAnsi="Calibri" w:cs="Calibri"/>
          <w:b/>
          <w:noProof/>
          <w:color w:val="404040" w:themeColor="text1" w:themeTint="BF"/>
          <w:sz w:val="22"/>
          <w:szCs w:val="22"/>
        </w:rPr>
        <w:t>Population-Level Frameworks – Quasi Multi/Uni-Dimensional</w:t>
      </w:r>
    </w:p>
    <w:p w14:paraId="12C227F1" w14:textId="77777777" w:rsidR="005013A3" w:rsidRPr="00D538E1"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3D82F343" w14:textId="77777777" w:rsidR="005013A3" w:rsidRPr="00D538E1" w:rsidRDefault="005013A3" w:rsidP="005013A3">
      <w:pPr>
        <w:pStyle w:val="ListParagraph"/>
        <w:widowControl w:val="0"/>
        <w:numPr>
          <w:ilvl w:val="0"/>
          <w:numId w:val="2"/>
        </w:numPr>
        <w:autoSpaceDE w:val="0"/>
        <w:autoSpaceDN w:val="0"/>
        <w:adjustRightInd w:val="0"/>
        <w:ind w:right="184"/>
        <w:rPr>
          <w:rFonts w:ascii="Calibri" w:hAnsi="Calibri" w:cs="Calibri"/>
          <w:b/>
          <w:noProof/>
          <w:color w:val="404040" w:themeColor="text1" w:themeTint="BF"/>
          <w:sz w:val="22"/>
          <w:szCs w:val="22"/>
        </w:rPr>
      </w:pPr>
      <w:r>
        <w:rPr>
          <w:noProof/>
        </w:rPr>
        <w:drawing>
          <wp:anchor distT="0" distB="0" distL="114300" distR="114300" simplePos="0" relativeHeight="251659264" behindDoc="0" locked="0" layoutInCell="1" allowOverlap="1" wp14:anchorId="457095FC" wp14:editId="0B36B4F3">
            <wp:simplePos x="0" y="0"/>
            <wp:positionH relativeFrom="column">
              <wp:posOffset>3404870</wp:posOffset>
            </wp:positionH>
            <wp:positionV relativeFrom="paragraph">
              <wp:posOffset>67853</wp:posOffset>
            </wp:positionV>
            <wp:extent cx="2553970" cy="3835400"/>
            <wp:effectExtent l="0" t="0" r="0" b="0"/>
            <wp:wrapSquare wrapText="bothSides"/>
            <wp:docPr id="42" name="Picture 42" descr="Infographic providing an overview of Opportunity for All – Canada’s First Poverty Reduction Strategy. Text description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graphic providing an overview of Opportunity for All – Canada’s First Poverty Reduction Strategy. Text description follow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3970" cy="383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8E1">
        <w:rPr>
          <w:rFonts w:ascii="Calibri" w:hAnsi="Calibri" w:cs="Calibri"/>
          <w:b/>
          <w:noProof/>
          <w:color w:val="404040" w:themeColor="text1" w:themeTint="BF"/>
          <w:sz w:val="22"/>
          <w:szCs w:val="22"/>
        </w:rPr>
        <w:t>Opportunity for All</w:t>
      </w:r>
    </w:p>
    <w:p w14:paraId="63BB1958" w14:textId="77777777" w:rsidR="005013A3" w:rsidRDefault="005013A3" w:rsidP="005013A3">
      <w:pPr>
        <w:pStyle w:val="ListParagraph"/>
        <w:widowControl w:val="0"/>
        <w:numPr>
          <w:ilvl w:val="0"/>
          <w:numId w:val="12"/>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Sets the Market Basket Measure (MBM) as the ‘official’ poverty line, complemented by a scorecard of indicators of poverty reduction.</w:t>
      </w:r>
    </w:p>
    <w:p w14:paraId="1BC8342A" w14:textId="77777777" w:rsidR="005013A3" w:rsidRDefault="005013A3" w:rsidP="005013A3">
      <w:pPr>
        <w:pStyle w:val="ListParagraph"/>
        <w:widowControl w:val="0"/>
        <w:numPr>
          <w:ilvl w:val="0"/>
          <w:numId w:val="12"/>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Tracks multiple dimensions of poverty at the population-level and is </w:t>
      </w:r>
      <w:r w:rsidRPr="00B93AE4">
        <w:rPr>
          <w:rFonts w:ascii="Calibri" w:hAnsi="Calibri" w:cs="Calibri"/>
          <w:noProof/>
          <w:color w:val="404040" w:themeColor="text1" w:themeTint="BF"/>
          <w:sz w:val="22"/>
          <w:szCs w:val="22"/>
        </w:rPr>
        <w:t>disaggregated by community, household size and demographic groups</w:t>
      </w:r>
      <w:r>
        <w:rPr>
          <w:rFonts w:ascii="Calibri" w:hAnsi="Calibri" w:cs="Calibri"/>
          <w:noProof/>
          <w:color w:val="404040" w:themeColor="text1" w:themeTint="BF"/>
          <w:sz w:val="22"/>
          <w:szCs w:val="22"/>
        </w:rPr>
        <w:t xml:space="preserve"> – more than any other measures.</w:t>
      </w:r>
    </w:p>
    <w:p w14:paraId="6A85F803" w14:textId="77777777" w:rsidR="005013A3" w:rsidRDefault="005013A3" w:rsidP="005013A3">
      <w:pPr>
        <w:pStyle w:val="ListParagraph"/>
        <w:widowControl w:val="0"/>
        <w:numPr>
          <w:ilvl w:val="0"/>
          <w:numId w:val="12"/>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Useful if wanting to align with Canada’s poverty reduction strategy and are interested in tracking more than just income poverty.</w:t>
      </w:r>
    </w:p>
    <w:p w14:paraId="3088733E" w14:textId="77777777" w:rsidR="005013A3" w:rsidRDefault="005013A3" w:rsidP="005013A3">
      <w:pPr>
        <w:pStyle w:val="ListParagraph"/>
        <w:widowControl w:val="0"/>
        <w:numPr>
          <w:ilvl w:val="0"/>
          <w:numId w:val="12"/>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W</w:t>
      </w:r>
      <w:r w:rsidRPr="00B93AE4">
        <w:rPr>
          <w:rFonts w:ascii="Calibri" w:hAnsi="Calibri" w:cs="Calibri"/>
          <w:noProof/>
          <w:color w:val="404040" w:themeColor="text1" w:themeTint="BF"/>
          <w:sz w:val="22"/>
          <w:szCs w:val="22"/>
        </w:rPr>
        <w:t xml:space="preserve">ill have strong credibility and reliability, as it is being developed by professional researchers. </w:t>
      </w:r>
    </w:p>
    <w:p w14:paraId="7DB9D76E" w14:textId="77777777" w:rsidR="005013A3" w:rsidRDefault="005013A3" w:rsidP="005013A3">
      <w:pPr>
        <w:pStyle w:val="ListParagraph"/>
        <w:widowControl w:val="0"/>
        <w:numPr>
          <w:ilvl w:val="0"/>
          <w:numId w:val="12"/>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Likely</w:t>
      </w:r>
      <w:r w:rsidRPr="00B93AE4">
        <w:rPr>
          <w:rFonts w:ascii="Calibri" w:hAnsi="Calibri" w:cs="Calibri"/>
          <w:noProof/>
          <w:color w:val="404040" w:themeColor="text1" w:themeTint="BF"/>
          <w:sz w:val="22"/>
          <w:szCs w:val="22"/>
        </w:rPr>
        <w:t xml:space="preserve"> to become the optimal measure of poverty at the population-level in Canada. </w:t>
      </w:r>
    </w:p>
    <w:p w14:paraId="5D8A82DB" w14:textId="77777777" w:rsidR="005013A3" w:rsidRPr="00B93AE4" w:rsidRDefault="005013A3" w:rsidP="005013A3">
      <w:pPr>
        <w:pStyle w:val="ListParagraph"/>
        <w:widowControl w:val="0"/>
        <w:numPr>
          <w:ilvl w:val="0"/>
          <w:numId w:val="12"/>
        </w:numPr>
        <w:autoSpaceDE w:val="0"/>
        <w:autoSpaceDN w:val="0"/>
        <w:adjustRightInd w:val="0"/>
        <w:spacing w:before="120"/>
        <w:ind w:left="714" w:right="181" w:hanging="357"/>
        <w:contextualSpacing w:val="0"/>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L</w:t>
      </w:r>
      <w:r w:rsidRPr="00B93AE4">
        <w:rPr>
          <w:rFonts w:ascii="Calibri" w:hAnsi="Calibri" w:cs="Calibri"/>
          <w:noProof/>
          <w:color w:val="404040" w:themeColor="text1" w:themeTint="BF"/>
          <w:sz w:val="22"/>
          <w:szCs w:val="22"/>
        </w:rPr>
        <w:t>imitations</w:t>
      </w:r>
      <w:r>
        <w:rPr>
          <w:rFonts w:ascii="Calibri" w:hAnsi="Calibri" w:cs="Calibri"/>
          <w:noProof/>
          <w:color w:val="404040" w:themeColor="text1" w:themeTint="BF"/>
          <w:sz w:val="22"/>
          <w:szCs w:val="22"/>
        </w:rPr>
        <w:t>: L</w:t>
      </w:r>
      <w:r w:rsidRPr="00B93AE4">
        <w:rPr>
          <w:rFonts w:ascii="Calibri" w:hAnsi="Calibri" w:cs="Calibri"/>
          <w:noProof/>
          <w:color w:val="404040" w:themeColor="text1" w:themeTint="BF"/>
          <w:sz w:val="22"/>
          <w:szCs w:val="22"/>
        </w:rPr>
        <w:t>argely income and/or material deprivation-based, may be considered too ‘partisan’</w:t>
      </w:r>
      <w:r>
        <w:rPr>
          <w:rFonts w:ascii="Calibri" w:hAnsi="Calibri" w:cs="Calibri"/>
          <w:noProof/>
          <w:color w:val="404040" w:themeColor="text1" w:themeTint="BF"/>
          <w:sz w:val="22"/>
          <w:szCs w:val="22"/>
        </w:rPr>
        <w:t xml:space="preserve">; </w:t>
      </w:r>
      <w:r w:rsidRPr="00B93AE4">
        <w:rPr>
          <w:rFonts w:ascii="Calibri" w:hAnsi="Calibri" w:cs="Calibri"/>
          <w:noProof/>
          <w:color w:val="404040" w:themeColor="text1" w:themeTint="BF"/>
          <w:sz w:val="22"/>
          <w:szCs w:val="22"/>
        </w:rPr>
        <w:t>as of yet, has not been implemented.</w:t>
      </w:r>
    </w:p>
    <w:p w14:paraId="25CAFAFB" w14:textId="77777777" w:rsidR="005013A3" w:rsidRDefault="005013A3" w:rsidP="005013A3">
      <w:pPr>
        <w:widowControl w:val="0"/>
        <w:autoSpaceDE w:val="0"/>
        <w:autoSpaceDN w:val="0"/>
        <w:adjustRightInd w:val="0"/>
        <w:ind w:right="184"/>
        <w:rPr>
          <w:rFonts w:ascii="Calibri" w:hAnsi="Calibri" w:cs="Calibri"/>
          <w:noProof/>
          <w:color w:val="404040" w:themeColor="text1" w:themeTint="BF"/>
          <w:sz w:val="22"/>
          <w:szCs w:val="22"/>
        </w:rPr>
      </w:pPr>
    </w:p>
    <w:p w14:paraId="770B267A" w14:textId="77777777" w:rsidR="005013A3" w:rsidRDefault="005013A3" w:rsidP="005013A3">
      <w:pPr>
        <w:widowControl w:val="0"/>
        <w:autoSpaceDE w:val="0"/>
        <w:autoSpaceDN w:val="0"/>
        <w:adjustRightInd w:val="0"/>
        <w:ind w:right="184"/>
        <w:rPr>
          <w:rFonts w:ascii="Calibri" w:hAnsi="Calibri" w:cs="Calibri"/>
          <w:sz w:val="22"/>
          <w:szCs w:val="22"/>
        </w:rPr>
      </w:pPr>
      <w:hyperlink r:id="rId23" w:anchor="vis1" w:history="1">
        <w:r w:rsidRPr="002A5613">
          <w:rPr>
            <w:rStyle w:val="Hyperlink"/>
            <w:rFonts w:ascii="Calibri" w:eastAsiaTheme="minorEastAsia" w:hAnsi="Calibri" w:cs="Calibri"/>
          </w:rPr>
          <w:t>Read more about the Opportunity for All dashboard</w:t>
        </w:r>
      </w:hyperlink>
    </w:p>
    <w:p w14:paraId="01D0187A" w14:textId="77777777" w:rsidR="005013A3" w:rsidRPr="00BD6EF6" w:rsidRDefault="005013A3" w:rsidP="005013A3">
      <w:r>
        <w:fldChar w:fldCharType="begin"/>
      </w:r>
      <w:r>
        <w:instrText xml:space="preserve"> INCLUDEPICTURE "C:\\var\\folders\\v_\\6n1bt0kx62z_c5rc0_xfybwm0000gn\\T\\com.microsoft.Word\\WebArchiveCopyPasteTempFiles\\Infographic_full_EN.jpg" \* MERGEFORMAT </w:instrText>
      </w:r>
      <w:r>
        <w:fldChar w:fldCharType="end"/>
      </w:r>
    </w:p>
    <w:p w14:paraId="2747A111" w14:textId="77777777" w:rsidR="005013A3" w:rsidRDefault="005013A3" w:rsidP="005013A3">
      <w:pPr>
        <w:widowControl w:val="0"/>
        <w:autoSpaceDE w:val="0"/>
        <w:autoSpaceDN w:val="0"/>
        <w:adjustRightInd w:val="0"/>
        <w:ind w:right="184"/>
        <w:rPr>
          <w:rFonts w:ascii="Calibri" w:hAnsi="Calibri" w:cs="Calibri"/>
          <w:b/>
          <w:noProof/>
          <w:color w:val="404040" w:themeColor="text1" w:themeTint="BF"/>
          <w:sz w:val="22"/>
          <w:szCs w:val="22"/>
        </w:rPr>
      </w:pPr>
    </w:p>
    <w:p w14:paraId="7AAC0C5D" w14:textId="66676C65" w:rsidR="00AA0948" w:rsidRPr="005C0F0D" w:rsidRDefault="00AA0948" w:rsidP="00AA0948">
      <w:pPr>
        <w:widowControl w:val="0"/>
        <w:autoSpaceDE w:val="0"/>
        <w:autoSpaceDN w:val="0"/>
        <w:adjustRightInd w:val="0"/>
        <w:ind w:right="184"/>
        <w:rPr>
          <w:rFonts w:ascii="Calibri" w:hAnsi="Calibri" w:cs="Calibri"/>
          <w:b/>
          <w:i/>
          <w:noProof/>
          <w:color w:val="404040" w:themeColor="text1" w:themeTint="BF"/>
          <w:sz w:val="22"/>
          <w:szCs w:val="22"/>
        </w:rPr>
      </w:pPr>
      <w:r>
        <w:rPr>
          <w:rFonts w:asciiTheme="minorHAnsi" w:hAnsiTheme="minorHAnsi" w:cstheme="minorHAnsi"/>
          <w:color w:val="E38216"/>
          <w:sz w:val="30"/>
          <w:szCs w:val="30"/>
        </w:rPr>
        <w:lastRenderedPageBreak/>
        <w:t>GROUP EXERCISE</w:t>
      </w:r>
      <w:r>
        <w:rPr>
          <w:rFonts w:ascii="Calibri" w:hAnsi="Calibri" w:cs="Calibri"/>
          <w:b/>
          <w:noProof/>
          <w:color w:val="404040" w:themeColor="text1" w:themeTint="BF"/>
          <w:sz w:val="22"/>
          <w:szCs w:val="22"/>
        </w:rPr>
        <w:br/>
      </w:r>
      <w:r w:rsidRPr="005C0F0D">
        <w:rPr>
          <w:rFonts w:ascii="Calibri" w:hAnsi="Calibri" w:cs="Calibri"/>
          <w:i/>
          <w:noProof/>
          <w:color w:val="404040" w:themeColor="text1" w:themeTint="BF"/>
          <w:sz w:val="22"/>
          <w:szCs w:val="22"/>
        </w:rPr>
        <w:t>Purpose:</w:t>
      </w:r>
      <w:r>
        <w:rPr>
          <w:rFonts w:ascii="Calibri" w:hAnsi="Calibri" w:cs="Calibri"/>
          <w:i/>
          <w:noProof/>
          <w:color w:val="404040" w:themeColor="text1" w:themeTint="BF"/>
          <w:sz w:val="22"/>
          <w:szCs w:val="22"/>
        </w:rPr>
        <w:t xml:space="preserve"> </w:t>
      </w:r>
      <w:r>
        <w:rPr>
          <w:rFonts w:ascii="Calibri" w:hAnsi="Calibri" w:cs="Calibri"/>
          <w:i/>
          <w:noProof/>
          <w:color w:val="404040" w:themeColor="text1" w:themeTint="BF"/>
          <w:sz w:val="22"/>
          <w:szCs w:val="22"/>
        </w:rPr>
        <w:t>Finish building a common</w:t>
      </w:r>
      <w:r>
        <w:rPr>
          <w:rFonts w:ascii="Calibri" w:hAnsi="Calibri" w:cs="Calibri"/>
          <w:i/>
          <w:noProof/>
          <w:color w:val="404040" w:themeColor="text1" w:themeTint="BF"/>
          <w:sz w:val="22"/>
          <w:szCs w:val="22"/>
        </w:rPr>
        <w:t xml:space="preserve"> understanding of what poverty and poverty reduction are in your context.</w:t>
      </w:r>
    </w:p>
    <w:p w14:paraId="356335A9" w14:textId="3ACFC7FC" w:rsidR="00AA0948" w:rsidRPr="00AA0948"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r w:rsidRPr="00AA0948">
        <w:rPr>
          <w:rFonts w:ascii="Calibri" w:hAnsi="Calibri" w:cs="Calibri"/>
          <w:noProof/>
          <w:color w:val="404040" w:themeColor="text1" w:themeTint="BF"/>
          <w:sz w:val="22"/>
          <w:szCs w:val="22"/>
        </w:rPr>
        <w:t>Describe your impact framework:</w:t>
      </w:r>
    </w:p>
    <w:p w14:paraId="3A0E6132" w14:textId="77777777" w:rsidR="00AA0948" w:rsidRDefault="00AA0948" w:rsidP="00AA0948">
      <w:pPr>
        <w:pStyle w:val="ListParagraph"/>
        <w:widowControl w:val="0"/>
        <w:numPr>
          <w:ilvl w:val="0"/>
          <w:numId w:val="3"/>
        </w:numPr>
        <w:autoSpaceDE w:val="0"/>
        <w:autoSpaceDN w:val="0"/>
        <w:adjustRightInd w:val="0"/>
        <w:spacing w:before="480"/>
        <w:ind w:left="1080" w:right="181"/>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Your working definitions of ‘poverty’ and ‘poverty reduction’</w:t>
      </w:r>
    </w:p>
    <w:p w14:paraId="09736D03" w14:textId="77777777" w:rsidR="00AA0948"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2C29BF7E" w14:textId="77777777" w:rsidR="00AA0948" w:rsidRPr="00F447E7"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58A40F7A" w14:textId="22D3FA5C" w:rsidR="00AA0948" w:rsidRDefault="00AA0948" w:rsidP="00AA0948">
      <w:pPr>
        <w:pStyle w:val="ListParagraph"/>
        <w:widowControl w:val="0"/>
        <w:numPr>
          <w:ilvl w:val="0"/>
          <w:numId w:val="3"/>
        </w:numPr>
        <w:autoSpaceDE w:val="0"/>
        <w:autoSpaceDN w:val="0"/>
        <w:adjustRightInd w:val="0"/>
        <w:spacing w:before="480"/>
        <w:ind w:left="1080" w:right="181"/>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 xml:space="preserve">Your domains (ex. Housing, </w:t>
      </w:r>
      <w:r>
        <w:rPr>
          <w:rFonts w:ascii="Calibri" w:hAnsi="Calibri" w:cs="Calibri"/>
          <w:noProof/>
          <w:color w:val="404040" w:themeColor="text1" w:themeTint="BF"/>
          <w:sz w:val="22"/>
          <w:szCs w:val="22"/>
        </w:rPr>
        <w:t>education</w:t>
      </w:r>
      <w:r>
        <w:rPr>
          <w:rFonts w:ascii="Calibri" w:hAnsi="Calibri" w:cs="Calibri"/>
          <w:noProof/>
          <w:color w:val="404040" w:themeColor="text1" w:themeTint="BF"/>
          <w:sz w:val="22"/>
          <w:szCs w:val="22"/>
        </w:rPr>
        <w:t>,</w:t>
      </w:r>
      <w:r>
        <w:rPr>
          <w:rFonts w:ascii="Calibri" w:hAnsi="Calibri" w:cs="Calibri"/>
          <w:noProof/>
          <w:color w:val="404040" w:themeColor="text1" w:themeTint="BF"/>
          <w:sz w:val="22"/>
          <w:szCs w:val="22"/>
        </w:rPr>
        <w:t xml:space="preserve"> health</w:t>
      </w:r>
      <w:r>
        <w:rPr>
          <w:rFonts w:ascii="Calibri" w:hAnsi="Calibri" w:cs="Calibri"/>
          <w:noProof/>
          <w:color w:val="404040" w:themeColor="text1" w:themeTint="BF"/>
          <w:sz w:val="22"/>
          <w:szCs w:val="22"/>
        </w:rPr>
        <w:t xml:space="preserve"> etc.)</w:t>
      </w:r>
    </w:p>
    <w:p w14:paraId="7DDDF13A" w14:textId="77777777" w:rsidR="00AA0948"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467C33B5" w14:textId="77777777" w:rsidR="00AA0948"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25D8877D" w14:textId="77777777" w:rsidR="00AA0948" w:rsidRPr="00F447E7"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7ED28CFD" w14:textId="77777777" w:rsidR="00AA0948" w:rsidRPr="00580EC5" w:rsidRDefault="00AA0948" w:rsidP="00AA0948">
      <w:pPr>
        <w:pStyle w:val="ListParagraph"/>
        <w:widowControl w:val="0"/>
        <w:numPr>
          <w:ilvl w:val="0"/>
          <w:numId w:val="3"/>
        </w:numPr>
        <w:autoSpaceDE w:val="0"/>
        <w:autoSpaceDN w:val="0"/>
        <w:adjustRightInd w:val="0"/>
        <w:spacing w:before="480"/>
        <w:ind w:left="1080" w:right="181"/>
        <w:rPr>
          <w:rFonts w:ascii="Calibri" w:hAnsi="Calibri" w:cs="Calibri"/>
          <w:noProof/>
          <w:color w:val="404040" w:themeColor="text1" w:themeTint="BF"/>
          <w:sz w:val="22"/>
          <w:szCs w:val="22"/>
        </w:rPr>
      </w:pPr>
      <w:r w:rsidRPr="00580EC5">
        <w:rPr>
          <w:rFonts w:ascii="Calibri" w:hAnsi="Calibri" w:cs="Calibri"/>
          <w:noProof/>
          <w:color w:val="404040" w:themeColor="text1" w:themeTint="BF"/>
          <w:sz w:val="22"/>
          <w:szCs w:val="22"/>
        </w:rPr>
        <w:t>Your indicators (</w:t>
      </w:r>
      <w:r>
        <w:rPr>
          <w:rFonts w:ascii="Calibri" w:hAnsi="Calibri" w:cs="Calibri"/>
          <w:noProof/>
          <w:color w:val="404040" w:themeColor="text1" w:themeTint="BF"/>
          <w:sz w:val="22"/>
          <w:szCs w:val="22"/>
        </w:rPr>
        <w:t>a</w:t>
      </w:r>
      <w:r w:rsidRPr="00580EC5">
        <w:rPr>
          <w:rFonts w:ascii="Calibri" w:hAnsi="Calibri" w:cs="Calibri"/>
          <w:noProof/>
          <w:color w:val="404040" w:themeColor="text1" w:themeTint="BF"/>
          <w:sz w:val="22"/>
          <w:szCs w:val="22"/>
        </w:rPr>
        <w:t xml:space="preserve">gainst </w:t>
      </w:r>
      <w:r>
        <w:rPr>
          <w:rFonts w:ascii="Calibri" w:hAnsi="Calibri" w:cs="Calibri"/>
          <w:noProof/>
          <w:color w:val="404040" w:themeColor="text1" w:themeTint="BF"/>
          <w:sz w:val="22"/>
          <w:szCs w:val="22"/>
        </w:rPr>
        <w:t>impact domains</w:t>
      </w:r>
      <w:r w:rsidRPr="00580EC5">
        <w:rPr>
          <w:rFonts w:ascii="Calibri" w:hAnsi="Calibri" w:cs="Calibri"/>
          <w:noProof/>
          <w:color w:val="404040" w:themeColor="text1" w:themeTint="BF"/>
          <w:sz w:val="22"/>
          <w:szCs w:val="22"/>
        </w:rPr>
        <w:t>)</w:t>
      </w:r>
    </w:p>
    <w:p w14:paraId="6E77CA28" w14:textId="77777777" w:rsidR="00AA0948"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0493514D" w14:textId="77777777" w:rsidR="00AA0948"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22A2B8B0" w14:textId="77777777" w:rsidR="00AA0948" w:rsidRPr="00F447E7" w:rsidRDefault="00AA0948" w:rsidP="00AA0948">
      <w:pPr>
        <w:widowControl w:val="0"/>
        <w:autoSpaceDE w:val="0"/>
        <w:autoSpaceDN w:val="0"/>
        <w:adjustRightInd w:val="0"/>
        <w:spacing w:before="480"/>
        <w:ind w:right="181"/>
        <w:rPr>
          <w:rFonts w:ascii="Calibri" w:hAnsi="Calibri" w:cs="Calibri"/>
          <w:noProof/>
          <w:color w:val="404040" w:themeColor="text1" w:themeTint="BF"/>
          <w:sz w:val="22"/>
          <w:szCs w:val="22"/>
        </w:rPr>
      </w:pPr>
    </w:p>
    <w:p w14:paraId="5793F6E0" w14:textId="77777777" w:rsidR="00AA0948" w:rsidRPr="00817CBF" w:rsidRDefault="00AA0948" w:rsidP="00AA0948">
      <w:pPr>
        <w:pStyle w:val="ListParagraph"/>
        <w:widowControl w:val="0"/>
        <w:numPr>
          <w:ilvl w:val="0"/>
          <w:numId w:val="3"/>
        </w:numPr>
        <w:autoSpaceDE w:val="0"/>
        <w:autoSpaceDN w:val="0"/>
        <w:adjustRightInd w:val="0"/>
        <w:spacing w:before="480"/>
        <w:ind w:left="1080" w:right="181"/>
        <w:rPr>
          <w:rFonts w:ascii="Calibri" w:hAnsi="Calibri" w:cs="Calibri"/>
          <w:noProof/>
          <w:color w:val="404040" w:themeColor="text1" w:themeTint="BF"/>
          <w:sz w:val="22"/>
          <w:szCs w:val="22"/>
        </w:rPr>
      </w:pPr>
      <w:r>
        <w:rPr>
          <w:rFonts w:ascii="Calibri" w:hAnsi="Calibri" w:cs="Calibri"/>
          <w:noProof/>
          <w:color w:val="404040" w:themeColor="text1" w:themeTint="BF"/>
          <w:sz w:val="22"/>
          <w:szCs w:val="22"/>
        </w:rPr>
        <w:t>Your poverty threshold(s)</w:t>
      </w:r>
    </w:p>
    <w:p w14:paraId="6272DF64" w14:textId="77777777" w:rsidR="00AA0948" w:rsidRDefault="00AA0948" w:rsidP="00AA0948">
      <w:pPr>
        <w:widowControl w:val="0"/>
        <w:autoSpaceDE w:val="0"/>
        <w:autoSpaceDN w:val="0"/>
        <w:adjustRightInd w:val="0"/>
        <w:ind w:right="184"/>
        <w:rPr>
          <w:rFonts w:ascii="Calibri" w:hAnsi="Calibri" w:cs="Calibri"/>
          <w:noProof/>
          <w:color w:val="404040" w:themeColor="text1" w:themeTint="BF"/>
          <w:sz w:val="22"/>
          <w:szCs w:val="22"/>
        </w:rPr>
      </w:pPr>
    </w:p>
    <w:p w14:paraId="6BF0EE5F" w14:textId="77777777" w:rsidR="00AA0948" w:rsidRDefault="00AA0948" w:rsidP="00AA0948">
      <w:pPr>
        <w:widowControl w:val="0"/>
        <w:autoSpaceDE w:val="0"/>
        <w:autoSpaceDN w:val="0"/>
        <w:adjustRightInd w:val="0"/>
        <w:ind w:right="184"/>
        <w:rPr>
          <w:rFonts w:ascii="Calibri" w:hAnsi="Calibri" w:cs="Calibri"/>
          <w:noProof/>
          <w:color w:val="404040" w:themeColor="text1" w:themeTint="BF"/>
          <w:sz w:val="22"/>
          <w:szCs w:val="22"/>
        </w:rPr>
      </w:pPr>
    </w:p>
    <w:p w14:paraId="14F593B2" w14:textId="77777777" w:rsidR="00AA0948" w:rsidRDefault="00AA0948" w:rsidP="00AA0948">
      <w:pPr>
        <w:widowControl w:val="0"/>
        <w:autoSpaceDE w:val="0"/>
        <w:autoSpaceDN w:val="0"/>
        <w:adjustRightInd w:val="0"/>
        <w:ind w:right="184"/>
        <w:rPr>
          <w:rFonts w:ascii="Calibri" w:hAnsi="Calibri" w:cs="Calibri"/>
          <w:noProof/>
          <w:color w:val="404040" w:themeColor="text1" w:themeTint="BF"/>
          <w:sz w:val="22"/>
          <w:szCs w:val="22"/>
        </w:rPr>
      </w:pPr>
    </w:p>
    <w:p w14:paraId="15B469F0" w14:textId="42F0AF14" w:rsidR="00CD469B" w:rsidRPr="005013A3" w:rsidRDefault="00CD469B">
      <w:pPr>
        <w:rPr>
          <w:rFonts w:ascii="Calibri" w:hAnsi="Calibri" w:cs="Calibri"/>
          <w:noProof/>
          <w:color w:val="404040" w:themeColor="text1" w:themeTint="BF"/>
          <w:sz w:val="22"/>
          <w:szCs w:val="22"/>
        </w:rPr>
      </w:pPr>
    </w:p>
    <w:sectPr w:rsidR="00CD469B" w:rsidRPr="005013A3">
      <w:headerReference w:type="even" r:id="rId24"/>
      <w:head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9060" w14:textId="77777777" w:rsidR="00861B8B" w:rsidRDefault="00861B8B" w:rsidP="005013A3">
      <w:r>
        <w:separator/>
      </w:r>
    </w:p>
  </w:endnote>
  <w:endnote w:type="continuationSeparator" w:id="0">
    <w:p w14:paraId="162FB7C1" w14:textId="77777777" w:rsidR="00861B8B" w:rsidRDefault="00861B8B" w:rsidP="0050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A035" w14:textId="77777777" w:rsidR="00861B8B" w:rsidRDefault="00861B8B" w:rsidP="005013A3">
      <w:r>
        <w:separator/>
      </w:r>
    </w:p>
  </w:footnote>
  <w:footnote w:type="continuationSeparator" w:id="0">
    <w:p w14:paraId="06AC4AF2" w14:textId="77777777" w:rsidR="00861B8B" w:rsidRDefault="00861B8B" w:rsidP="0050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7449150"/>
      <w:docPartObj>
        <w:docPartGallery w:val="Page Numbers (Top of Page)"/>
        <w:docPartUnique/>
      </w:docPartObj>
    </w:sdtPr>
    <w:sdtContent>
      <w:p w14:paraId="2ACAEA3F" w14:textId="3F5FAC99" w:rsidR="005013A3" w:rsidRDefault="005013A3" w:rsidP="007E1A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850290" w14:textId="77777777" w:rsidR="005013A3" w:rsidRDefault="005013A3" w:rsidP="005013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859146"/>
      <w:docPartObj>
        <w:docPartGallery w:val="Page Numbers (Top of Page)"/>
        <w:docPartUnique/>
      </w:docPartObj>
    </w:sdtPr>
    <w:sdtContent>
      <w:p w14:paraId="775AF22A" w14:textId="625F39A1" w:rsidR="005013A3" w:rsidRDefault="005013A3" w:rsidP="007E1A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F107D5" w14:textId="67FFF5A3" w:rsidR="005013A3" w:rsidRDefault="005013A3" w:rsidP="005013A3">
    <w:pPr>
      <w:pStyle w:val="Header"/>
      <w:ind w:right="360"/>
    </w:pPr>
    <w:r>
      <w:rPr>
        <w:noProof/>
      </w:rPr>
      <mc:AlternateContent>
        <mc:Choice Requires="wps">
          <w:drawing>
            <wp:anchor distT="0" distB="0" distL="114300" distR="114300" simplePos="0" relativeHeight="251661312" behindDoc="0" locked="0" layoutInCell="1" allowOverlap="1" wp14:anchorId="617F61D4" wp14:editId="1BBD8354">
              <wp:simplePos x="0" y="0"/>
              <wp:positionH relativeFrom="column">
                <wp:posOffset>-342900</wp:posOffset>
              </wp:positionH>
              <wp:positionV relativeFrom="paragraph">
                <wp:posOffset>99060</wp:posOffset>
              </wp:positionV>
              <wp:extent cx="4868899" cy="44704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868899" cy="447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08D153" w14:textId="77777777" w:rsidR="005013A3" w:rsidRDefault="005013A3" w:rsidP="005013A3">
                          <w:pPr>
                            <w:rPr>
                              <w:rFonts w:ascii="Calibri" w:hAnsi="Calibri" w:cs="Arial"/>
                              <w:color w:val="595959" w:themeColor="text1" w:themeTint="A6"/>
                              <w:sz w:val="22"/>
                              <w:szCs w:val="22"/>
                            </w:rPr>
                          </w:pPr>
                          <w:r>
                            <w:rPr>
                              <w:rFonts w:ascii="Calibri" w:hAnsi="Calibri" w:cs="Arial"/>
                              <w:b/>
                              <w:color w:val="E38216"/>
                              <w:sz w:val="22"/>
                              <w:szCs w:val="22"/>
                            </w:rPr>
                            <w:t>GETTING TO IMPACT</w:t>
                          </w:r>
                        </w:p>
                        <w:p w14:paraId="475333B2" w14:textId="77777777" w:rsidR="005013A3" w:rsidRPr="00107D74" w:rsidRDefault="005013A3" w:rsidP="005013A3">
                          <w:pPr>
                            <w:rPr>
                              <w:rFonts w:ascii="Calibri" w:hAnsi="Calibri" w:cs="Arial"/>
                              <w:sz w:val="22"/>
                              <w:szCs w:val="22"/>
                            </w:rPr>
                          </w:pPr>
                        </w:p>
                        <w:p w14:paraId="5DF305A2" w14:textId="77777777" w:rsidR="005013A3" w:rsidRPr="00107D74" w:rsidRDefault="005013A3" w:rsidP="005013A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F61D4" id="_x0000_t202" coordsize="21600,21600" o:spt="202" path="m,l,21600r21600,l21600,xe">
              <v:stroke joinstyle="miter"/>
              <v:path gradientshapeok="t" o:connecttype="rect"/>
            </v:shapetype>
            <v:shape id="Text Box 59" o:spid="_x0000_s1026" type="#_x0000_t202" style="position:absolute;margin-left:-27pt;margin-top:7.8pt;width:383.4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" filled="f" stroked="f">
              <v:textbox>
                <w:txbxContent>
                  <w:p w14:paraId="2208D153" w14:textId="77777777" w:rsidR="005013A3" w:rsidRDefault="005013A3" w:rsidP="005013A3">
                    <w:pPr>
                      <w:rPr>
                        <w:rFonts w:ascii="Calibri" w:hAnsi="Calibri" w:cs="Arial"/>
                        <w:color w:val="595959" w:themeColor="text1" w:themeTint="A6"/>
                        <w:sz w:val="22"/>
                        <w:szCs w:val="22"/>
                      </w:rPr>
                    </w:pPr>
                    <w:r>
                      <w:rPr>
                        <w:rFonts w:ascii="Calibri" w:hAnsi="Calibri" w:cs="Arial"/>
                        <w:b/>
                        <w:color w:val="E38216"/>
                        <w:sz w:val="22"/>
                        <w:szCs w:val="22"/>
                      </w:rPr>
                      <w:t>GETTING TO IMPACT</w:t>
                    </w:r>
                  </w:p>
                  <w:p w14:paraId="475333B2" w14:textId="77777777" w:rsidR="005013A3" w:rsidRPr="00107D74" w:rsidRDefault="005013A3" w:rsidP="005013A3">
                    <w:pPr>
                      <w:rPr>
                        <w:rFonts w:ascii="Calibri" w:hAnsi="Calibri" w:cs="Arial"/>
                        <w:sz w:val="22"/>
                        <w:szCs w:val="22"/>
                      </w:rPr>
                    </w:pPr>
                  </w:p>
                  <w:p w14:paraId="5DF305A2" w14:textId="77777777" w:rsidR="005013A3" w:rsidRPr="00107D74" w:rsidRDefault="005013A3" w:rsidP="005013A3">
                    <w:pPr>
                      <w:rPr>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D99918" wp14:editId="5DC46F54">
              <wp:simplePos x="0" y="0"/>
              <wp:positionH relativeFrom="column">
                <wp:posOffset>-342900</wp:posOffset>
              </wp:positionH>
              <wp:positionV relativeFrom="paragraph">
                <wp:posOffset>376555</wp:posOffset>
              </wp:positionV>
              <wp:extent cx="6401435" cy="2540"/>
              <wp:effectExtent l="0" t="0" r="50165" b="48260"/>
              <wp:wrapNone/>
              <wp:docPr id="60" name="Straight Connector 60"/>
              <wp:cNvGraphicFramePr/>
              <a:graphic xmlns:a="http://schemas.openxmlformats.org/drawingml/2006/main">
                <a:graphicData uri="http://schemas.microsoft.com/office/word/2010/wordprocessingShape">
                  <wps:wsp>
                    <wps:cNvCnPr/>
                    <wps:spPr>
                      <a:xfrm>
                        <a:off x="0" y="0"/>
                        <a:ext cx="6401435" cy="2540"/>
                      </a:xfrm>
                      <a:prstGeom prst="line">
                        <a:avLst/>
                      </a:prstGeom>
                      <a:ln w="9525" cmpd="sng">
                        <a:solidFill>
                          <a:srgbClr val="FF66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319037" id="Straight Connector 6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9.65pt" to="477.05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" strokecolor="#f6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D63"/>
    <w:multiLevelType w:val="hybridMultilevel"/>
    <w:tmpl w:val="BCEC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C1B0E"/>
    <w:multiLevelType w:val="hybridMultilevel"/>
    <w:tmpl w:val="393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D027F"/>
    <w:multiLevelType w:val="hybridMultilevel"/>
    <w:tmpl w:val="E61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96B7D"/>
    <w:multiLevelType w:val="hybridMultilevel"/>
    <w:tmpl w:val="53C078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687F"/>
    <w:multiLevelType w:val="hybridMultilevel"/>
    <w:tmpl w:val="BB4A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E6A63"/>
    <w:multiLevelType w:val="hybridMultilevel"/>
    <w:tmpl w:val="AE14A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3B63FB"/>
    <w:multiLevelType w:val="hybridMultilevel"/>
    <w:tmpl w:val="AEA2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542D5"/>
    <w:multiLevelType w:val="hybridMultilevel"/>
    <w:tmpl w:val="447E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F2968"/>
    <w:multiLevelType w:val="hybridMultilevel"/>
    <w:tmpl w:val="4F9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61580"/>
    <w:multiLevelType w:val="hybridMultilevel"/>
    <w:tmpl w:val="2E9C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A5CDC"/>
    <w:multiLevelType w:val="hybridMultilevel"/>
    <w:tmpl w:val="3CB8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636C6"/>
    <w:multiLevelType w:val="hybridMultilevel"/>
    <w:tmpl w:val="0F26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F238F"/>
    <w:multiLevelType w:val="hybridMultilevel"/>
    <w:tmpl w:val="C920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9"/>
  </w:num>
  <w:num w:numId="7">
    <w:abstractNumId w:val="12"/>
  </w:num>
  <w:num w:numId="8">
    <w:abstractNumId w:val="8"/>
  </w:num>
  <w:num w:numId="9">
    <w:abstractNumId w:val="6"/>
  </w:num>
  <w:num w:numId="10">
    <w:abstractNumId w:val="11"/>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A3"/>
    <w:rsid w:val="005013A3"/>
    <w:rsid w:val="0050603F"/>
    <w:rsid w:val="00861B8B"/>
    <w:rsid w:val="00A5729D"/>
    <w:rsid w:val="00A61297"/>
    <w:rsid w:val="00AA0948"/>
    <w:rsid w:val="00CD4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8216C5"/>
  <w15:chartTrackingRefBased/>
  <w15:docId w15:val="{D6060E4E-5CE2-2B4A-AE07-EB8C48CE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3A3"/>
    <w:rPr>
      <w:color w:val="0000FF"/>
      <w:u w:val="single"/>
    </w:rPr>
  </w:style>
  <w:style w:type="table" w:styleId="TableGrid">
    <w:name w:val="Table Grid"/>
    <w:basedOn w:val="TableNormal"/>
    <w:uiPriority w:val="39"/>
    <w:rsid w:val="005013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3A3"/>
    <w:pPr>
      <w:ind w:left="720"/>
      <w:contextualSpacing/>
    </w:pPr>
  </w:style>
  <w:style w:type="paragraph" w:styleId="Subtitle">
    <w:name w:val="Subtitle"/>
    <w:basedOn w:val="Normal"/>
    <w:next w:val="Normal"/>
    <w:link w:val="SubtitleChar"/>
    <w:uiPriority w:val="11"/>
    <w:qFormat/>
    <w:rsid w:val="00501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013A3"/>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5013A3"/>
    <w:pPr>
      <w:tabs>
        <w:tab w:val="center" w:pos="4680"/>
        <w:tab w:val="right" w:pos="9360"/>
      </w:tabs>
    </w:pPr>
  </w:style>
  <w:style w:type="character" w:customStyle="1" w:styleId="HeaderChar">
    <w:name w:val="Header Char"/>
    <w:basedOn w:val="DefaultParagraphFont"/>
    <w:link w:val="Header"/>
    <w:uiPriority w:val="99"/>
    <w:rsid w:val="005013A3"/>
    <w:rPr>
      <w:rFonts w:ascii="Times New Roman" w:eastAsia="Times New Roman" w:hAnsi="Times New Roman" w:cs="Times New Roman"/>
    </w:rPr>
  </w:style>
  <w:style w:type="paragraph" w:styleId="Footer">
    <w:name w:val="footer"/>
    <w:basedOn w:val="Normal"/>
    <w:link w:val="FooterChar"/>
    <w:uiPriority w:val="99"/>
    <w:unhideWhenUsed/>
    <w:rsid w:val="005013A3"/>
    <w:pPr>
      <w:tabs>
        <w:tab w:val="center" w:pos="4680"/>
        <w:tab w:val="right" w:pos="9360"/>
      </w:tabs>
    </w:pPr>
  </w:style>
  <w:style w:type="character" w:customStyle="1" w:styleId="FooterChar">
    <w:name w:val="Footer Char"/>
    <w:basedOn w:val="DefaultParagraphFont"/>
    <w:link w:val="Footer"/>
    <w:uiPriority w:val="99"/>
    <w:rsid w:val="005013A3"/>
    <w:rPr>
      <w:rFonts w:ascii="Times New Roman" w:eastAsia="Times New Roman" w:hAnsi="Times New Roman" w:cs="Times New Roman"/>
    </w:rPr>
  </w:style>
  <w:style w:type="character" w:styleId="PageNumber">
    <w:name w:val="page number"/>
    <w:basedOn w:val="DefaultParagraphFont"/>
    <w:uiPriority w:val="99"/>
    <w:semiHidden/>
    <w:unhideWhenUsed/>
    <w:rsid w:val="0050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sufficiencymatrix.org/zrm-int.aspx" TargetMode="External"/><Relationship Id="rId13" Type="http://schemas.openxmlformats.org/officeDocument/2006/relationships/hyperlink" Target="https://www150.statcan.gc.ca/n1/pub/75f0002m/2012002/lim-mfr-eng.htm" TargetMode="External"/><Relationship Id="rId18" Type="http://schemas.openxmlformats.org/officeDocument/2006/relationships/hyperlink" Target="https://www.canada.ca/en/services/health/determinants-health.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mmunityhealthandwellbeing.org/canadian-index-wellbeing" TargetMode="External"/><Relationship Id="rId7" Type="http://schemas.openxmlformats.org/officeDocument/2006/relationships/image" Target="media/image1.png"/><Relationship Id="rId12" Type="http://schemas.openxmlformats.org/officeDocument/2006/relationships/hyperlink" Target="https://www12.statcan.gc.ca/census-recensement/2016/ref/dict/pop165-eng.cfm"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ihi.ca/en/deprivation-in-canadian-cities-an-analytical-tool" TargetMode="External"/><Relationship Id="rId20" Type="http://schemas.openxmlformats.org/officeDocument/2006/relationships/image" Target="media/image6.jpe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canada.ca/en/employment-social-development/programs/poverty-reduction/reports/strategy/infographic.html" TargetMode="External"/><Relationship Id="rId28" Type="http://schemas.openxmlformats.org/officeDocument/2006/relationships/customXml" Target="../customXml/item1.xml"/><Relationship Id="rId10" Type="http://schemas.openxmlformats.org/officeDocument/2006/relationships/hyperlink" Target="http://www.tamarackcommunity.ca/library/sustainable-livelihoods-framework" TargetMode="External"/><Relationship Id="rId19" Type="http://schemas.openxmlformats.org/officeDocument/2006/relationships/hyperlink" Target="http://thecanadianfacts.org/the_canadian_facts.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150.statcan.gc.ca/n1/pub/75f0002m/2012002/lico-sfr-eng.htm" TargetMode="External"/><Relationship Id="rId22" Type="http://schemas.openxmlformats.org/officeDocument/2006/relationships/image" Target="media/image7.jpeg"/><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7695C30DC0C47AA67CD3E98CCC7A9" ma:contentTypeVersion="4" ma:contentTypeDescription="Create a new document." ma:contentTypeScope="" ma:versionID="047e0e33284ff907c8f5f02652e09c86">
  <xsd:schema xmlns:xsd="http://www.w3.org/2001/XMLSchema" xmlns:xs="http://www.w3.org/2001/XMLSchema" xmlns:p="http://schemas.microsoft.com/office/2006/metadata/properties" xmlns:ns2="b4be1854-bbf2-486c-8d2f-b763e29d2e1e" targetNamespace="http://schemas.microsoft.com/office/2006/metadata/properties" ma:root="true" ma:fieldsID="f8185d86a2e1127ee397c4a8b803263d" ns2:_="">
    <xsd:import namespace="b4be1854-bbf2-486c-8d2f-b763e29d2e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1854-bbf2-486c-8d2f-b763e29d2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8D4FD-FC51-4573-95BD-2D44B2F33F15}"/>
</file>

<file path=customXml/itemProps2.xml><?xml version="1.0" encoding="utf-8"?>
<ds:datastoreItem xmlns:ds="http://schemas.openxmlformats.org/officeDocument/2006/customXml" ds:itemID="{82B192F4-CE9D-4C55-ABAD-D942F97F176F}"/>
</file>

<file path=customXml/itemProps3.xml><?xml version="1.0" encoding="utf-8"?>
<ds:datastoreItem xmlns:ds="http://schemas.openxmlformats.org/officeDocument/2006/customXml" ds:itemID="{BFB32B59-36AA-410F-A939-3B5B4AA2629C}"/>
</file>

<file path=docProps/app.xml><?xml version="1.0" encoding="utf-8"?>
<Properties xmlns="http://schemas.openxmlformats.org/officeDocument/2006/extended-properties" xmlns:vt="http://schemas.openxmlformats.org/officeDocument/2006/docPropsVTypes">
  <Template>Normal.dotm</Template>
  <TotalTime>16</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Pei</dc:creator>
  <cp:keywords/>
  <dc:description/>
  <cp:lastModifiedBy>Natasha Pei</cp:lastModifiedBy>
  <cp:revision>1</cp:revision>
  <dcterms:created xsi:type="dcterms:W3CDTF">2021-10-28T14:31:00Z</dcterms:created>
  <dcterms:modified xsi:type="dcterms:W3CDTF">2021-10-28T14:55:00Z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0x0101005947695C30DC0C47AA67CD3E98CCC7A9</vt:lpwstr>
  </property>
</Properties>
</file>